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4D6C" w:rsidRPr="001B1C2B" w:rsidRDefault="00434D6C" w:rsidP="00434D6C">
      <w:pPr>
        <w:spacing w:after="0" w:line="240" w:lineRule="auto"/>
        <w:rPr>
          <w:rFonts w:cstheme="minorHAnsi"/>
          <w:b/>
          <w:sz w:val="24"/>
          <w:szCs w:val="24"/>
        </w:rPr>
      </w:pPr>
      <w:r w:rsidRPr="001B1C2B">
        <w:rPr>
          <w:rFonts w:cstheme="minorHAnsi"/>
          <w:b/>
          <w:sz w:val="24"/>
          <w:szCs w:val="24"/>
        </w:rPr>
        <w:t>CÍVEL</w:t>
      </w:r>
    </w:p>
    <w:p w:rsidR="00434D6C" w:rsidRPr="00664A20" w:rsidRDefault="00434D6C" w:rsidP="00434D6C">
      <w:pPr>
        <w:spacing w:after="0" w:line="240" w:lineRule="auto"/>
        <w:rPr>
          <w:rFonts w:cstheme="minorHAnsi"/>
          <w:b/>
          <w:sz w:val="24"/>
          <w:szCs w:val="24"/>
        </w:rPr>
      </w:pPr>
      <w:r w:rsidRPr="00664A20">
        <w:rPr>
          <w:rFonts w:cstheme="minorHAnsi"/>
          <w:b/>
          <w:sz w:val="24"/>
          <w:szCs w:val="24"/>
        </w:rPr>
        <w:t>Lei Anticorrupção completou três anos de vigência</w:t>
      </w:r>
    </w:p>
    <w:p w:rsidR="00434D6C" w:rsidRDefault="00434D6C" w:rsidP="00434D6C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</w:t>
      </w:r>
      <w:r w:rsidRPr="00664A20">
        <w:rPr>
          <w:rFonts w:cstheme="minorHAnsi"/>
          <w:sz w:val="24"/>
          <w:szCs w:val="24"/>
        </w:rPr>
        <w:t>orma inovou o Direito brasileiro ao permitir a responsabili</w:t>
      </w:r>
      <w:r>
        <w:rPr>
          <w:rFonts w:cstheme="minorHAnsi"/>
          <w:sz w:val="24"/>
          <w:szCs w:val="24"/>
        </w:rPr>
        <w:t>zação de</w:t>
      </w:r>
      <w:r w:rsidRPr="00664A20">
        <w:rPr>
          <w:rFonts w:cstheme="minorHAnsi"/>
          <w:sz w:val="24"/>
          <w:szCs w:val="24"/>
        </w:rPr>
        <w:t xml:space="preserve"> pessoas jurídica</w:t>
      </w:r>
      <w:r>
        <w:rPr>
          <w:rFonts w:cstheme="minorHAnsi"/>
          <w:sz w:val="24"/>
          <w:szCs w:val="24"/>
        </w:rPr>
        <w:t>s</w:t>
      </w:r>
    </w:p>
    <w:p w:rsidR="00434D6C" w:rsidRPr="001B1C2B" w:rsidRDefault="00434D6C" w:rsidP="00434D6C">
      <w:pPr>
        <w:spacing w:after="0" w:line="240" w:lineRule="auto"/>
        <w:rPr>
          <w:rFonts w:cstheme="minorHAnsi"/>
          <w:sz w:val="24"/>
          <w:szCs w:val="24"/>
        </w:rPr>
      </w:pPr>
    </w:p>
    <w:p w:rsidR="00434D6C" w:rsidRPr="00434D6C" w:rsidRDefault="00434D6C" w:rsidP="00434D6C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34D6C">
        <w:rPr>
          <w:rFonts w:cstheme="minorHAnsi"/>
          <w:sz w:val="24"/>
          <w:szCs w:val="24"/>
        </w:rPr>
        <w:t xml:space="preserve">A Lei nº 12.846/2013, que dispõe sobre a responsabilização administrativa e civil de pessoas jurídicas pela prática de atos contra a administração pública, nacional ou estrangeira, completou três anos de vigência em 29 de janeiro. </w:t>
      </w:r>
    </w:p>
    <w:p w:rsidR="00434D6C" w:rsidRPr="00434D6C" w:rsidRDefault="00434D6C" w:rsidP="00434D6C">
      <w:pPr>
        <w:spacing w:after="0" w:line="240" w:lineRule="auto"/>
        <w:jc w:val="both"/>
        <w:rPr>
          <w:rFonts w:cstheme="minorHAnsi"/>
          <w:sz w:val="24"/>
          <w:szCs w:val="24"/>
        </w:rPr>
      </w:pPr>
      <w:bookmarkStart w:id="0" w:name="_GoBack"/>
      <w:bookmarkEnd w:id="0"/>
    </w:p>
    <w:p w:rsidR="00434D6C" w:rsidRPr="00434D6C" w:rsidRDefault="00434D6C" w:rsidP="00434D6C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34D6C">
        <w:rPr>
          <w:rFonts w:cstheme="minorHAnsi"/>
          <w:sz w:val="24"/>
          <w:szCs w:val="24"/>
        </w:rPr>
        <w:t>A norma surgiu em face da necessidade de adequação do Brasil a um cenário mundial já avançado no tema, a exemplo da FCPA (</w:t>
      </w:r>
      <w:proofErr w:type="spellStart"/>
      <w:r w:rsidRPr="00434D6C">
        <w:rPr>
          <w:rFonts w:cstheme="minorHAnsi"/>
          <w:bCs/>
          <w:sz w:val="24"/>
          <w:szCs w:val="24"/>
          <w:shd w:val="clear" w:color="auto" w:fill="FFFFFF"/>
        </w:rPr>
        <w:t>Foreign</w:t>
      </w:r>
      <w:proofErr w:type="spellEnd"/>
      <w:r w:rsidRPr="00434D6C">
        <w:rPr>
          <w:rFonts w:cstheme="minorHAnsi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434D6C">
        <w:rPr>
          <w:rFonts w:cstheme="minorHAnsi"/>
          <w:bCs/>
          <w:sz w:val="24"/>
          <w:szCs w:val="24"/>
          <w:shd w:val="clear" w:color="auto" w:fill="FFFFFF"/>
        </w:rPr>
        <w:t>Corrupt</w:t>
      </w:r>
      <w:proofErr w:type="spellEnd"/>
      <w:r w:rsidRPr="00434D6C">
        <w:rPr>
          <w:rFonts w:cstheme="minorHAnsi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434D6C">
        <w:rPr>
          <w:rFonts w:cstheme="minorHAnsi"/>
          <w:bCs/>
          <w:sz w:val="24"/>
          <w:szCs w:val="24"/>
          <w:shd w:val="clear" w:color="auto" w:fill="FFFFFF"/>
        </w:rPr>
        <w:t>Practices</w:t>
      </w:r>
      <w:proofErr w:type="spellEnd"/>
      <w:r w:rsidRPr="00434D6C">
        <w:rPr>
          <w:rFonts w:cstheme="minorHAnsi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434D6C">
        <w:rPr>
          <w:rFonts w:cstheme="minorHAnsi"/>
          <w:bCs/>
          <w:sz w:val="24"/>
          <w:szCs w:val="24"/>
          <w:shd w:val="clear" w:color="auto" w:fill="FFFFFF"/>
        </w:rPr>
        <w:t>Act</w:t>
      </w:r>
      <w:proofErr w:type="spellEnd"/>
      <w:r w:rsidRPr="00434D6C">
        <w:rPr>
          <w:rFonts w:cstheme="minorHAnsi"/>
          <w:bCs/>
          <w:sz w:val="24"/>
          <w:szCs w:val="24"/>
          <w:shd w:val="clear" w:color="auto" w:fill="FFFFFF"/>
        </w:rPr>
        <w:t xml:space="preserve">), legislação americana </w:t>
      </w:r>
      <w:r w:rsidRPr="00434D6C">
        <w:rPr>
          <w:rFonts w:cstheme="minorHAnsi"/>
          <w:bCs/>
          <w:strike/>
          <w:sz w:val="24"/>
          <w:szCs w:val="24"/>
          <w:shd w:val="clear" w:color="auto" w:fill="FFFFFF"/>
        </w:rPr>
        <w:t>sobre anticorrupção</w:t>
      </w:r>
      <w:r w:rsidRPr="00434D6C">
        <w:rPr>
          <w:rFonts w:cstheme="minorHAnsi"/>
          <w:bCs/>
          <w:sz w:val="24"/>
          <w:szCs w:val="24"/>
          <w:shd w:val="clear" w:color="auto" w:fill="FFFFFF"/>
        </w:rPr>
        <w:t xml:space="preserve"> promulgada em 1977. Com a entrada em vigor, os </w:t>
      </w:r>
      <w:r w:rsidRPr="00434D6C">
        <w:rPr>
          <w:rFonts w:cstheme="minorHAnsi"/>
          <w:sz w:val="24"/>
          <w:szCs w:val="24"/>
        </w:rPr>
        <w:t xml:space="preserve">programas de </w:t>
      </w:r>
      <w:proofErr w:type="spellStart"/>
      <w:r w:rsidRPr="00434D6C">
        <w:rPr>
          <w:rFonts w:cstheme="minorHAnsi"/>
          <w:i/>
          <w:sz w:val="24"/>
          <w:szCs w:val="24"/>
        </w:rPr>
        <w:t>Compliance</w:t>
      </w:r>
      <w:proofErr w:type="spellEnd"/>
      <w:r w:rsidRPr="00434D6C">
        <w:rPr>
          <w:rFonts w:cstheme="minorHAnsi"/>
          <w:sz w:val="24"/>
          <w:szCs w:val="24"/>
        </w:rPr>
        <w:t xml:space="preserve"> se apresentaram como meio fundamental e necessário na luta e combate à corrupção, visando eliminar práticas corruptivas que possam ocorrer dentro das empresas. “Além de favorecer positivamente a imagem da empresa, que através da implantação de normas internas de </w:t>
      </w:r>
      <w:proofErr w:type="spellStart"/>
      <w:r w:rsidRPr="00434D6C">
        <w:rPr>
          <w:rFonts w:cstheme="minorHAnsi"/>
          <w:i/>
          <w:sz w:val="24"/>
          <w:szCs w:val="24"/>
        </w:rPr>
        <w:t>Compliance</w:t>
      </w:r>
      <w:proofErr w:type="spellEnd"/>
      <w:r w:rsidRPr="00434D6C">
        <w:rPr>
          <w:rFonts w:cstheme="minorHAnsi"/>
          <w:sz w:val="24"/>
          <w:szCs w:val="24"/>
        </w:rPr>
        <w:t>, contribui para uma mudança cultural, impacto socialmente positivo e disseminação de condutas íntegras na sociedade”, explica Priscila Coelho, especialista em Direito Cível do NELM Advogados.</w:t>
      </w:r>
    </w:p>
    <w:p w:rsidR="00434D6C" w:rsidRPr="00434D6C" w:rsidRDefault="00434D6C" w:rsidP="00434D6C">
      <w:pPr>
        <w:spacing w:after="0" w:line="240" w:lineRule="auto"/>
        <w:jc w:val="both"/>
        <w:rPr>
          <w:rFonts w:cstheme="minorHAnsi"/>
          <w:bCs/>
          <w:sz w:val="24"/>
          <w:szCs w:val="24"/>
          <w:shd w:val="clear" w:color="auto" w:fill="FFFFFF"/>
        </w:rPr>
      </w:pPr>
    </w:p>
    <w:p w:rsidR="00434D6C" w:rsidRPr="00434D6C" w:rsidRDefault="00434D6C" w:rsidP="00434D6C">
      <w:pPr>
        <w:spacing w:after="0" w:line="240" w:lineRule="auto"/>
        <w:jc w:val="both"/>
        <w:rPr>
          <w:rFonts w:cstheme="minorHAnsi"/>
          <w:bCs/>
          <w:sz w:val="24"/>
          <w:szCs w:val="24"/>
          <w:shd w:val="clear" w:color="auto" w:fill="FFFFFF"/>
        </w:rPr>
      </w:pPr>
      <w:r w:rsidRPr="00434D6C">
        <w:rPr>
          <w:rFonts w:cstheme="minorHAnsi"/>
          <w:bCs/>
          <w:sz w:val="24"/>
          <w:szCs w:val="24"/>
          <w:shd w:val="clear" w:color="auto" w:fill="FFFFFF"/>
        </w:rPr>
        <w:t>Entretanto, a também especialista em Direito Cível do NELM Advogados, Lourdes Esteves Almeida, ressalta que, a</w:t>
      </w:r>
      <w:r w:rsidRPr="00434D6C">
        <w:rPr>
          <w:sz w:val="24"/>
          <w:szCs w:val="24"/>
        </w:rPr>
        <w:t xml:space="preserve">pesar do aumento do risco das empresas terem que suportar as consequências, na esfera civil e administrativa, por prática de atos lesivos à administração pública, fato é que os programas de </w:t>
      </w:r>
      <w:proofErr w:type="spellStart"/>
      <w:r w:rsidRPr="00434D6C">
        <w:rPr>
          <w:i/>
          <w:sz w:val="24"/>
          <w:szCs w:val="24"/>
        </w:rPr>
        <w:t>compliance</w:t>
      </w:r>
      <w:proofErr w:type="spellEnd"/>
      <w:r w:rsidRPr="00434D6C">
        <w:rPr>
          <w:i/>
          <w:sz w:val="24"/>
          <w:szCs w:val="24"/>
        </w:rPr>
        <w:t xml:space="preserve"> </w:t>
      </w:r>
      <w:r w:rsidRPr="00434D6C">
        <w:rPr>
          <w:sz w:val="24"/>
          <w:szCs w:val="24"/>
        </w:rPr>
        <w:t xml:space="preserve">ainda são restritos a grandes corporações, em sua maioria internacionais. </w:t>
      </w:r>
      <w:r w:rsidRPr="00434D6C">
        <w:rPr>
          <w:rFonts w:cstheme="minorHAnsi"/>
          <w:bCs/>
          <w:sz w:val="24"/>
          <w:szCs w:val="24"/>
          <w:shd w:val="clear" w:color="auto" w:fill="FFFFFF"/>
        </w:rPr>
        <w:t xml:space="preserve">A informação é preocupante à medida em que a ausência da ferramenta de combate e prevenção à corrupção, torna a empresa vulnerável perante o mercado interno e externo, podendo comprometer consideravelmente sua atuação e desenvolvimento sadios”, explica. </w:t>
      </w:r>
    </w:p>
    <w:p w:rsidR="00434D6C" w:rsidRPr="00434D6C" w:rsidRDefault="00434D6C" w:rsidP="00434D6C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434D6C" w:rsidRPr="00434D6C" w:rsidRDefault="00434D6C" w:rsidP="00434D6C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34D6C">
        <w:rPr>
          <w:rFonts w:cstheme="minorHAnsi"/>
          <w:sz w:val="24"/>
          <w:szCs w:val="24"/>
        </w:rPr>
        <w:t xml:space="preserve">As advogadas esclarecem, ainda, que adoção de um sistema de </w:t>
      </w:r>
      <w:proofErr w:type="spellStart"/>
      <w:r w:rsidRPr="00434D6C">
        <w:rPr>
          <w:rFonts w:cstheme="minorHAnsi"/>
          <w:sz w:val="24"/>
          <w:szCs w:val="24"/>
        </w:rPr>
        <w:t>compliance</w:t>
      </w:r>
      <w:proofErr w:type="spellEnd"/>
      <w:r w:rsidRPr="00434D6C">
        <w:rPr>
          <w:rFonts w:cstheme="minorHAnsi"/>
          <w:sz w:val="24"/>
          <w:szCs w:val="24"/>
        </w:rPr>
        <w:t xml:space="preserve"> não significa necessariamente a efetividade no combate à corrupção, se não </w:t>
      </w:r>
      <w:r w:rsidRPr="00434D6C">
        <w:rPr>
          <w:sz w:val="24"/>
          <w:szCs w:val="24"/>
        </w:rPr>
        <w:t xml:space="preserve">decorrente de um mapeamento significativo dos riscos, </w:t>
      </w:r>
      <w:r w:rsidRPr="00434D6C">
        <w:rPr>
          <w:rFonts w:cstheme="minorHAnsi"/>
          <w:sz w:val="24"/>
          <w:szCs w:val="24"/>
        </w:rPr>
        <w:t>acompanhados de uma estrutura bem definida como elaboração de código de conduta interno, treinamentos aos funcionários, entre outras ações.</w:t>
      </w:r>
    </w:p>
    <w:p w:rsidR="00434D6C" w:rsidRPr="00434D6C" w:rsidRDefault="00434D6C" w:rsidP="00434D6C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434D6C" w:rsidRPr="00434D6C" w:rsidRDefault="00434D6C" w:rsidP="00434D6C">
      <w:pPr>
        <w:spacing w:after="0" w:line="240" w:lineRule="auto"/>
        <w:jc w:val="both"/>
        <w:rPr>
          <w:sz w:val="24"/>
          <w:szCs w:val="24"/>
        </w:rPr>
      </w:pPr>
      <w:r w:rsidRPr="00434D6C">
        <w:rPr>
          <w:sz w:val="24"/>
          <w:szCs w:val="24"/>
        </w:rPr>
        <w:t xml:space="preserve">A Lei Anticorrupção é uma realidade e a implantação de uma política de </w:t>
      </w:r>
      <w:proofErr w:type="spellStart"/>
      <w:r w:rsidRPr="00434D6C">
        <w:rPr>
          <w:i/>
          <w:sz w:val="24"/>
          <w:szCs w:val="24"/>
        </w:rPr>
        <w:t>compliance</w:t>
      </w:r>
      <w:proofErr w:type="spellEnd"/>
      <w:r w:rsidRPr="00434D6C">
        <w:rPr>
          <w:sz w:val="24"/>
          <w:szCs w:val="24"/>
        </w:rPr>
        <w:t xml:space="preserve">, visando mitigar a prática de atos ilícitos cometidos por funcionários e por seus representantes legais, é indispensável, devendo ser adotada pelas empresas, de pequeno, médio e grande porte, mesmo que não mantenham contratos com a administração pública. </w:t>
      </w:r>
    </w:p>
    <w:p w:rsidR="001B1C2B" w:rsidRPr="00434D6C" w:rsidRDefault="001B1C2B" w:rsidP="00434D6C"/>
    <w:sectPr w:rsidR="001B1C2B" w:rsidRPr="00434D6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93A"/>
    <w:rsid w:val="000851FE"/>
    <w:rsid w:val="000F798B"/>
    <w:rsid w:val="00107080"/>
    <w:rsid w:val="001841C5"/>
    <w:rsid w:val="001A7E39"/>
    <w:rsid w:val="001B1C2B"/>
    <w:rsid w:val="001B1C63"/>
    <w:rsid w:val="001E0A70"/>
    <w:rsid w:val="002A4500"/>
    <w:rsid w:val="002B44F1"/>
    <w:rsid w:val="002C708C"/>
    <w:rsid w:val="00375E83"/>
    <w:rsid w:val="00393A4E"/>
    <w:rsid w:val="003C4510"/>
    <w:rsid w:val="003C52C6"/>
    <w:rsid w:val="00415ACB"/>
    <w:rsid w:val="00434D6C"/>
    <w:rsid w:val="00461D0A"/>
    <w:rsid w:val="004E6560"/>
    <w:rsid w:val="0051023A"/>
    <w:rsid w:val="00521553"/>
    <w:rsid w:val="00577459"/>
    <w:rsid w:val="00597128"/>
    <w:rsid w:val="00664A20"/>
    <w:rsid w:val="00702FF7"/>
    <w:rsid w:val="00705187"/>
    <w:rsid w:val="00796E70"/>
    <w:rsid w:val="00805EAC"/>
    <w:rsid w:val="00810628"/>
    <w:rsid w:val="00861785"/>
    <w:rsid w:val="00864779"/>
    <w:rsid w:val="008651E0"/>
    <w:rsid w:val="008D16BA"/>
    <w:rsid w:val="00913C61"/>
    <w:rsid w:val="00970EBF"/>
    <w:rsid w:val="009D7139"/>
    <w:rsid w:val="00A116AD"/>
    <w:rsid w:val="00B23EA0"/>
    <w:rsid w:val="00C6106B"/>
    <w:rsid w:val="00D24D29"/>
    <w:rsid w:val="00D6193A"/>
    <w:rsid w:val="00D90494"/>
    <w:rsid w:val="00DD09F3"/>
    <w:rsid w:val="00DD4C9E"/>
    <w:rsid w:val="00DE421A"/>
    <w:rsid w:val="00ED383C"/>
    <w:rsid w:val="00F12F64"/>
    <w:rsid w:val="00FD4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3448ED-A347-455F-AF30-9FA868161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4D6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619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D6193A"/>
  </w:style>
  <w:style w:type="character" w:styleId="Forte">
    <w:name w:val="Strong"/>
    <w:basedOn w:val="Fontepargpadro"/>
    <w:uiPriority w:val="22"/>
    <w:qFormat/>
    <w:rsid w:val="00D6193A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D6193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035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4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8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379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Priscila Coelho</dc:creator>
  <cp:keywords/>
  <dc:description/>
  <cp:lastModifiedBy>Flavia</cp:lastModifiedBy>
  <cp:revision>4</cp:revision>
  <dcterms:created xsi:type="dcterms:W3CDTF">2017-03-01T19:31:00Z</dcterms:created>
  <dcterms:modified xsi:type="dcterms:W3CDTF">2017-03-01T20:45:00Z</dcterms:modified>
</cp:coreProperties>
</file>