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A6" w:rsidRDefault="00332AA6" w:rsidP="00332A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sz w:val="18"/>
          <w:szCs w:val="18"/>
          <w:lang w:val="en-US"/>
        </w:rPr>
      </w:pPr>
      <w:r>
        <w:rPr>
          <w:rFonts w:ascii="Adobe Garamond Pro" w:hAnsi="Adobe Garamond Pro" w:cs="Adobe Garamond Pro"/>
          <w:sz w:val="18"/>
          <w:szCs w:val="18"/>
          <w:lang w:val="en-US"/>
        </w:rPr>
        <w:t xml:space="preserve">Austrália – O Fisco local anunciou a intenção de criar uma força-tarefa para acompanhar mais de perto as multinacionais que operam no país, </w:t>
      </w:r>
      <w:proofErr w:type="gramStart"/>
      <w:r>
        <w:rPr>
          <w:rFonts w:ascii="Adobe Garamond Pro" w:hAnsi="Adobe Garamond Pro" w:cs="Adobe Garamond Pro"/>
          <w:sz w:val="18"/>
          <w:szCs w:val="18"/>
          <w:lang w:val="en-US"/>
        </w:rPr>
        <w:t>com</w:t>
      </w:r>
      <w:proofErr w:type="gramEnd"/>
      <w:r>
        <w:rPr>
          <w:rFonts w:ascii="Adobe Garamond Pro" w:hAnsi="Adobe Garamond Pro" w:cs="Adobe Garamond Pro"/>
          <w:sz w:val="18"/>
          <w:szCs w:val="18"/>
          <w:lang w:val="en-US"/>
        </w:rPr>
        <w:t xml:space="preserve"> o objeto de coibir planejamentos tributários considerados abusivos.</w:t>
      </w:r>
    </w:p>
    <w:p w:rsidR="00332AA6" w:rsidRDefault="00332AA6" w:rsidP="00332A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sz w:val="18"/>
          <w:szCs w:val="18"/>
          <w:lang w:val="en-US"/>
        </w:rPr>
      </w:pPr>
      <w:r>
        <w:rPr>
          <w:rFonts w:ascii="Adobe Garamond Pro" w:hAnsi="Adobe Garamond Pro" w:cs="Adobe Garamond Pro"/>
          <w:sz w:val="18"/>
          <w:szCs w:val="18"/>
          <w:lang w:val="en-US"/>
        </w:rPr>
        <w:t xml:space="preserve">Bélgica – A Comissão Europeia concluiu o julgamento em relação ao Excess Profit Ruling System adotado pelo país. No entender da Comissão, </w:t>
      </w:r>
      <w:proofErr w:type="gramStart"/>
      <w:r>
        <w:rPr>
          <w:rFonts w:ascii="Adobe Garamond Pro" w:hAnsi="Adobe Garamond Pro" w:cs="Adobe Garamond Pro"/>
          <w:sz w:val="18"/>
          <w:szCs w:val="18"/>
          <w:lang w:val="en-US"/>
        </w:rPr>
        <w:t>tal</w:t>
      </w:r>
      <w:proofErr w:type="gramEnd"/>
      <w:r>
        <w:rPr>
          <w:rFonts w:ascii="Adobe Garamond Pro" w:hAnsi="Adobe Garamond Pro" w:cs="Adobe Garamond Pro"/>
          <w:sz w:val="18"/>
          <w:szCs w:val="18"/>
          <w:lang w:val="en-US"/>
        </w:rPr>
        <w:t xml:space="preserve"> previsão contida no sistema legal belga caracteriza-se como um State Aid irregular, na medida em que resulta em não tributação de parte expressiva do lucro das empresas. O governo belga já confirmou que irá recorrer da decisão.</w:t>
      </w:r>
    </w:p>
    <w:p w:rsidR="00332AA6" w:rsidRDefault="00332AA6" w:rsidP="00332A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sz w:val="18"/>
          <w:szCs w:val="18"/>
          <w:lang w:val="en-US"/>
        </w:rPr>
      </w:pPr>
      <w:r>
        <w:rPr>
          <w:rFonts w:ascii="Adobe Garamond Pro" w:hAnsi="Adobe Garamond Pro" w:cs="Adobe Garamond Pro"/>
          <w:sz w:val="18"/>
          <w:szCs w:val="18"/>
          <w:lang w:val="en-US"/>
        </w:rPr>
        <w:t xml:space="preserve">Hong Kong – Foi apresentado Projeto de Lei para regular </w:t>
      </w:r>
      <w:proofErr w:type="gramStart"/>
      <w:r>
        <w:rPr>
          <w:rFonts w:ascii="Adobe Garamond Pro" w:hAnsi="Adobe Garamond Pro" w:cs="Adobe Garamond Pro"/>
          <w:sz w:val="18"/>
          <w:szCs w:val="18"/>
          <w:lang w:val="en-US"/>
        </w:rPr>
        <w:t>a</w:t>
      </w:r>
      <w:proofErr w:type="gramEnd"/>
      <w:r>
        <w:rPr>
          <w:rFonts w:ascii="Adobe Garamond Pro" w:hAnsi="Adobe Garamond Pro" w:cs="Adobe Garamond Pro"/>
          <w:sz w:val="18"/>
          <w:szCs w:val="18"/>
          <w:lang w:val="en-US"/>
        </w:rPr>
        <w:t xml:space="preserve"> apresentação e mecânica da troca automática de informações com outras jurisdições. </w:t>
      </w:r>
      <w:proofErr w:type="gramStart"/>
      <w:r>
        <w:rPr>
          <w:rFonts w:ascii="Adobe Garamond Pro" w:hAnsi="Adobe Garamond Pro" w:cs="Adobe Garamond Pro"/>
          <w:sz w:val="18"/>
          <w:szCs w:val="18"/>
          <w:lang w:val="en-US"/>
        </w:rPr>
        <w:t>A</w:t>
      </w:r>
      <w:proofErr w:type="gramEnd"/>
      <w:r>
        <w:rPr>
          <w:rFonts w:ascii="Adobe Garamond Pro" w:hAnsi="Adobe Garamond Pro" w:cs="Adobe Garamond Pro"/>
          <w:sz w:val="18"/>
          <w:szCs w:val="18"/>
          <w:lang w:val="en-US"/>
        </w:rPr>
        <w:t xml:space="preserve"> ideia do Fisco local é que todas as medidas estejam efetivamente implementadas até o final de 2018.</w:t>
      </w:r>
    </w:p>
    <w:p w:rsidR="00332AA6" w:rsidRDefault="00332AA6" w:rsidP="00332A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sz w:val="18"/>
          <w:szCs w:val="18"/>
          <w:lang w:val="en-US"/>
        </w:rPr>
      </w:pPr>
      <w:r>
        <w:rPr>
          <w:rFonts w:ascii="Adobe Garamond Pro" w:hAnsi="Adobe Garamond Pro" w:cs="Adobe Garamond Pro"/>
          <w:sz w:val="18"/>
          <w:szCs w:val="18"/>
          <w:lang w:val="en-US"/>
        </w:rPr>
        <w:t xml:space="preserve">Luxemburgo – O governo anunciou a intenção de reduzir a alíquota do Imposto de Renda Corporativo de 21% para 18%, em duas fases, a partir de 2017. Em contrapartida, foi também anunciado a majoração do Imposto de Renda da Pessoa Física para contribuintes </w:t>
      </w:r>
      <w:proofErr w:type="gramStart"/>
      <w:r>
        <w:rPr>
          <w:rFonts w:ascii="Adobe Garamond Pro" w:hAnsi="Adobe Garamond Pro" w:cs="Adobe Garamond Pro"/>
          <w:sz w:val="18"/>
          <w:szCs w:val="18"/>
          <w:lang w:val="en-US"/>
        </w:rPr>
        <w:t>com</w:t>
      </w:r>
      <w:proofErr w:type="gramEnd"/>
      <w:r>
        <w:rPr>
          <w:rFonts w:ascii="Adobe Garamond Pro" w:hAnsi="Adobe Garamond Pro" w:cs="Adobe Garamond Pro"/>
          <w:sz w:val="18"/>
          <w:szCs w:val="18"/>
          <w:lang w:val="en-US"/>
        </w:rPr>
        <w:t xml:space="preserve"> renda superior a EUR 150 mil cuja alíquota será de 41%. Para rendas superiores a EUR 200 mil, </w:t>
      </w:r>
      <w:proofErr w:type="gramStart"/>
      <w:r>
        <w:rPr>
          <w:rFonts w:ascii="Adobe Garamond Pro" w:hAnsi="Adobe Garamond Pro" w:cs="Adobe Garamond Pro"/>
          <w:sz w:val="18"/>
          <w:szCs w:val="18"/>
          <w:lang w:val="en-US"/>
        </w:rPr>
        <w:t>a</w:t>
      </w:r>
      <w:proofErr w:type="gramEnd"/>
      <w:r>
        <w:rPr>
          <w:rFonts w:ascii="Adobe Garamond Pro" w:hAnsi="Adobe Garamond Pro" w:cs="Adobe Garamond Pro"/>
          <w:sz w:val="18"/>
          <w:szCs w:val="18"/>
          <w:lang w:val="en-US"/>
        </w:rPr>
        <w:t xml:space="preserve"> alíquota passaria a ser de 42%. </w:t>
      </w:r>
      <w:proofErr w:type="gramStart"/>
      <w:r>
        <w:rPr>
          <w:rFonts w:ascii="Adobe Garamond Pro" w:hAnsi="Adobe Garamond Pro" w:cs="Adobe Garamond Pro"/>
          <w:sz w:val="18"/>
          <w:szCs w:val="18"/>
          <w:lang w:val="en-US"/>
        </w:rPr>
        <w:t>Aguarda-se a formalização da iniciativa por meio de um Projeto de Lei a ser encaminhado ao Parlamento.</w:t>
      </w:r>
      <w:proofErr w:type="gramEnd"/>
    </w:p>
    <w:p w:rsidR="00332AA6" w:rsidRDefault="00332AA6" w:rsidP="00332A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sz w:val="18"/>
          <w:szCs w:val="18"/>
          <w:lang w:val="en-US"/>
        </w:rPr>
      </w:pPr>
      <w:r>
        <w:rPr>
          <w:rFonts w:ascii="Adobe Garamond Pro" w:hAnsi="Adobe Garamond Pro" w:cs="Adobe Garamond Pro"/>
          <w:sz w:val="18"/>
          <w:szCs w:val="18"/>
          <w:lang w:val="en-US"/>
        </w:rPr>
        <w:t>Reino Unido – Foram editadas as regras locais sobre o chamado Country-by-Country Report em decorrência da Ação #13 do BEPS. Empresas cujas receitas anuais do seu grupo sejam superiores a £ 750 milhões estarão obrigadas a apresentar o relatório para fins de cumprimento das regras de Transfer Pricing.</w:t>
      </w:r>
    </w:p>
    <w:p w:rsidR="00332AA6" w:rsidRDefault="00332AA6" w:rsidP="00332A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sz w:val="18"/>
          <w:szCs w:val="18"/>
          <w:lang w:val="en-US"/>
        </w:rPr>
      </w:pPr>
      <w:r>
        <w:rPr>
          <w:rFonts w:ascii="Adobe Garamond Pro" w:hAnsi="Adobe Garamond Pro" w:cs="Adobe Garamond Pro"/>
          <w:sz w:val="18"/>
          <w:szCs w:val="18"/>
          <w:lang w:val="en-US"/>
        </w:rPr>
        <w:t>Rússia – Em recente decisão, a Suprema Corte entendeu que cabe ao importador comprovar, por meio da apresentação de documentação idônea, o valor aduaneiro de mercadorias supostamente inferior ao preço usual de mercado (subfaturamento), invertendo assim a prática adotada até então.</w:t>
      </w:r>
    </w:p>
    <w:p w:rsidR="00332AA6" w:rsidRDefault="00332AA6" w:rsidP="00332A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sz w:val="18"/>
          <w:szCs w:val="18"/>
          <w:lang w:val="en-US"/>
        </w:rPr>
      </w:pPr>
    </w:p>
    <w:p w:rsidR="00332AA6" w:rsidRDefault="00332AA6" w:rsidP="00332AA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sz w:val="18"/>
          <w:szCs w:val="18"/>
          <w:lang w:val="en-US"/>
        </w:rPr>
      </w:pPr>
      <w:r>
        <w:rPr>
          <w:rFonts w:ascii="Adobe Garamond Pro" w:hAnsi="Adobe Garamond Pro" w:cs="Adobe Garamond Pro"/>
          <w:sz w:val="18"/>
          <w:szCs w:val="18"/>
          <w:lang w:val="en-US"/>
        </w:rPr>
        <w:t>Luis Guilherme B. Gonçalves Especialista em Tributação Internacional</w:t>
      </w:r>
    </w:p>
    <w:p w:rsidR="00F62F6C" w:rsidRDefault="00F62F6C">
      <w:bookmarkStart w:id="0" w:name="_GoBack"/>
      <w:bookmarkEnd w:id="0"/>
    </w:p>
    <w:sectPr w:rsidR="00F62F6C" w:rsidSect="00DD1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A6"/>
    <w:rsid w:val="00332AA6"/>
    <w:rsid w:val="00A61440"/>
    <w:rsid w:val="00F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736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Macintosh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1</cp:revision>
  <dcterms:created xsi:type="dcterms:W3CDTF">2016-04-19T12:35:00Z</dcterms:created>
  <dcterms:modified xsi:type="dcterms:W3CDTF">2016-04-19T12:35:00Z</dcterms:modified>
</cp:coreProperties>
</file>