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Austrália – O Fisco local anunciou a intenção de criar uma força-tarefa para acompanhar mais de perto as multinacionais que operam no país,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com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o objeto de coibir planejamentos tributários considerados abusivos.</w:t>
      </w: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Bélgica – A Comissão Europeia concluiu o julgamento em relação ao Excess Profit Ruling System adotado pelo país. No entender da Comissão,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tal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previsão contida no sistema legal belga caracteriza-se como um State Aid irregular, na medida em que resulta em não tributação de parte expressiva do lucro das empresas. O governo belga já confirmou que irá recorrer da decisão.</w:t>
      </w: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Hong Kong – Foi apresentado Projeto de Lei para regular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a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apresentação e mecânica da troca automática de informações com outras jurisdições.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A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ideia do Fisco local é que todas as medidas estejam efetivamente implementadas até o final de 2018.</w:t>
      </w: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Luxemburgo – O governo anunciou a intenção de reduzir a alíquota do Imposto de Renda Corporativo de 21% para 18%, em duas fases, a partir de 2017. Em contrapartida, foi também anunciado a majoração do Imposto de Renda da Pessoa Física para contribuintes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com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renda superior a EUR 150 mil cuja alíquota será de 41%. Para rendas superiores a EUR 200 mil,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a</w:t>
      </w:r>
      <w:proofErr w:type="gramEnd"/>
      <w:r>
        <w:rPr>
          <w:rFonts w:ascii="Adobe Garamond Pro" w:hAnsi="Adobe Garamond Pro" w:cs="Adobe Garamond Pro"/>
          <w:sz w:val="18"/>
          <w:szCs w:val="18"/>
          <w:lang w:val="en-US"/>
        </w:rPr>
        <w:t xml:space="preserve"> alíquota passaria a ser de 42%. </w:t>
      </w:r>
      <w:proofErr w:type="gramStart"/>
      <w:r>
        <w:rPr>
          <w:rFonts w:ascii="Adobe Garamond Pro" w:hAnsi="Adobe Garamond Pro" w:cs="Adobe Garamond Pro"/>
          <w:sz w:val="18"/>
          <w:szCs w:val="18"/>
          <w:lang w:val="en-US"/>
        </w:rPr>
        <w:t>Aguarda-se a formalização da iniciativa por meio de um Projeto de Lei a ser encaminhado ao Parlamento.</w:t>
      </w:r>
      <w:proofErr w:type="gramEnd"/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>Reino Unido – Foram editadas as regras locais sobre o chamado Country-by-Country Report em decorrência da Ação #13 do BEPS. Empresas cujas receitas anuais do seu grupo sejam superiores a £ 750 milhões estarão obrigadas a apresentar o relatório para fins de cumprimento das regras de Transfer Pricing.</w:t>
      </w: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>Rússia – Em recente decisão, a Suprema Corte entendeu que cabe ao importador comprovar, por meio da apresentação de documentação idônea, o valor aduaneiro de mercadorias supostamente inferior ao preço usual de mercado (subfaturamento), invertendo assim a prática adotada até então.</w:t>
      </w: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</w:p>
    <w:p w:rsidR="00332AA6" w:rsidRDefault="00332AA6" w:rsidP="00332AA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dobe Garamond Pro" w:hAnsi="Adobe Garamond Pro" w:cs="Adobe Garamond Pro"/>
          <w:sz w:val="18"/>
          <w:szCs w:val="18"/>
          <w:lang w:val="en-US"/>
        </w:rPr>
      </w:pPr>
      <w:r>
        <w:rPr>
          <w:rFonts w:ascii="Adobe Garamond Pro" w:hAnsi="Adobe Garamond Pro" w:cs="Adobe Garamond Pro"/>
          <w:sz w:val="18"/>
          <w:szCs w:val="18"/>
          <w:lang w:val="en-US"/>
        </w:rPr>
        <w:t>Luis Guilherme B. Gonçalves Especialista em Tributação Internacional</w:t>
      </w:r>
    </w:p>
    <w:p w:rsidR="00F62F6C" w:rsidRDefault="00F62F6C">
      <w:bookmarkStart w:id="0" w:name="_GoBack"/>
      <w:bookmarkEnd w:id="0"/>
    </w:p>
    <w:sectPr w:rsidR="00F62F6C" w:rsidSect="00DD10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A6"/>
    <w:rsid w:val="00332AA6"/>
    <w:rsid w:val="00A61440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7367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Macintosh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1</cp:revision>
  <dcterms:created xsi:type="dcterms:W3CDTF">2016-04-19T12:35:00Z</dcterms:created>
  <dcterms:modified xsi:type="dcterms:W3CDTF">2016-04-19T12:35:00Z</dcterms:modified>
</cp:coreProperties>
</file>