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3CB" w:rsidRPr="002C7BF1" w:rsidRDefault="002C7BF1">
      <w:r w:rsidRPr="002C7BF1">
        <w:t>EMPRESARIAL</w:t>
      </w: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rPr>
          <w:rFonts w:cs="HelveticaNeue-LightItalic"/>
          <w:b/>
          <w:i/>
          <w:iCs/>
        </w:rPr>
      </w:pPr>
      <w:r w:rsidRPr="002C7BF1">
        <w:rPr>
          <w:rFonts w:cs="HelveticaNeue-Light"/>
          <w:b/>
        </w:rPr>
        <w:t>Aumenta investimento do empresariado</w:t>
      </w:r>
      <w:r w:rsidRPr="002C7BF1">
        <w:rPr>
          <w:rFonts w:cs="HelveticaNeue-Light"/>
          <w:b/>
        </w:rPr>
        <w:t xml:space="preserve"> </w:t>
      </w:r>
      <w:r w:rsidRPr="002C7BF1">
        <w:rPr>
          <w:rFonts w:cs="HelveticaNeue-Light"/>
          <w:b/>
        </w:rPr>
        <w:t xml:space="preserve">nacional em programas de </w:t>
      </w:r>
      <w:r w:rsidRPr="002C7BF1">
        <w:rPr>
          <w:rFonts w:cs="HelveticaNeue-LightItalic"/>
          <w:b/>
          <w:i/>
          <w:iCs/>
        </w:rPr>
        <w:t>compliance</w:t>
      </w: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rPr>
          <w:rFonts w:cs="HelveticaNeue-LightItalic"/>
          <w:i/>
          <w:iCs/>
        </w:rPr>
      </w:pP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  <w:rPr>
          <w:rFonts w:cs="HelveticaNeue-LightItalic"/>
          <w:i/>
          <w:iCs/>
        </w:rPr>
      </w:pPr>
      <w:r w:rsidRPr="002C7BF1">
        <w:rPr>
          <w:rFonts w:cs="HelveticaNeue-LightItalic"/>
          <w:i/>
          <w:iCs/>
        </w:rPr>
        <w:t>Ferramenta fornece mais segurança para dirigentes, funcionários e</w:t>
      </w:r>
      <w:r>
        <w:rPr>
          <w:rFonts w:cs="HelveticaNeue-LightItalic"/>
          <w:i/>
          <w:iCs/>
        </w:rPr>
        <w:t xml:space="preserve"> </w:t>
      </w:r>
      <w:r w:rsidRPr="002C7BF1">
        <w:rPr>
          <w:rFonts w:cs="HelveticaNeue-LightItalic"/>
          <w:i/>
          <w:iCs/>
        </w:rPr>
        <w:t>investidores, e minimiza riscos jurídicos, independente do porte da empresa</w:t>
      </w: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rPr>
          <w:rFonts w:cs="HelveticaNeue-LightItalic"/>
          <w:i/>
          <w:iCs/>
        </w:rPr>
      </w:pP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Ao cabo de quase um ano de vigência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da Lei nº 12.846/2013, conhecida como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Lei Brasileira Anticorrupção, a experiência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vem acentuando a necessidade de um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programa estruturado de compliance nas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empresas. O compliance não é só uma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forma de demonstrar perante os órgãos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públicos de investigação e</w:t>
      </w:r>
      <w:r w:rsidRPr="002C7BF1">
        <w:rPr>
          <w:rFonts w:cs="AGaramondPro-Regular"/>
        </w:rPr>
        <w:t xml:space="preserve"> controle que a </w:t>
      </w:r>
      <w:r w:rsidRPr="002C7BF1">
        <w:rPr>
          <w:rFonts w:cs="AGaramondPro-Regular"/>
        </w:rPr>
        <w:t>empresa está agind</w:t>
      </w:r>
      <w:r w:rsidRPr="002C7BF1">
        <w:rPr>
          <w:rFonts w:cs="AGaramondPro-Regular"/>
        </w:rPr>
        <w:t xml:space="preserve">o dentro da estrita legalidade, </w:t>
      </w:r>
      <w:r w:rsidRPr="002C7BF1">
        <w:rPr>
          <w:rFonts w:cs="AGaramondPro-Regular"/>
        </w:rPr>
        <w:t>c</w:t>
      </w:r>
      <w:r w:rsidRPr="002C7BF1">
        <w:rPr>
          <w:rFonts w:cs="AGaramondPro-Regular"/>
        </w:rPr>
        <w:t xml:space="preserve">onforme explicou o especialista </w:t>
      </w:r>
      <w:r w:rsidRPr="002C7BF1">
        <w:rPr>
          <w:rFonts w:cs="AGaramondPro-Regular"/>
        </w:rPr>
        <w:t>em Direito Empresarial do NELM, Jayme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Petra de Mello Neto: “Ser compliant significa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optar por um sistema de controle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que minimiza os riscos de que a empresa,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seus dirigente</w:t>
      </w:r>
      <w:r w:rsidRPr="002C7BF1">
        <w:rPr>
          <w:rFonts w:cs="AGaramondPro-Regular"/>
        </w:rPr>
        <w:t xml:space="preserve">s, funcionários e colaboradores </w:t>
      </w:r>
      <w:r w:rsidRPr="002C7BF1">
        <w:rPr>
          <w:rFonts w:cs="AGaramondPro-Regular"/>
        </w:rPr>
        <w:t>po</w:t>
      </w:r>
      <w:r w:rsidRPr="002C7BF1">
        <w:rPr>
          <w:rFonts w:cs="AGaramondPro-Regular"/>
        </w:rPr>
        <w:t xml:space="preserve">ssam agir contrariamente ao que </w:t>
      </w:r>
      <w:r w:rsidRPr="002C7BF1">
        <w:rPr>
          <w:rFonts w:cs="AGaramondPro-Regular"/>
        </w:rPr>
        <w:t>manda a Lei ou contra o sentimento ético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médio em determinado setor econômico”.</w:t>
      </w: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Uma em</w:t>
      </w:r>
      <w:r w:rsidRPr="002C7BF1">
        <w:rPr>
          <w:rFonts w:cs="AGaramondPro-Regular"/>
        </w:rPr>
        <w:t xml:space="preserve">presa compliant assegura a seus </w:t>
      </w:r>
      <w:r w:rsidRPr="002C7BF1">
        <w:rPr>
          <w:rFonts w:cs="AGaramondPro-Regular"/>
        </w:rPr>
        <w:t>stakeholders maior segurança e crença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na perenidade, uma vez que os riscos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 xml:space="preserve">jurídicos </w:t>
      </w:r>
      <w:r w:rsidRPr="002C7BF1">
        <w:rPr>
          <w:rFonts w:cs="AGaramondPro-Regular"/>
        </w:rPr>
        <w:t xml:space="preserve">a que poderia estar exposta são </w:t>
      </w:r>
      <w:r w:rsidRPr="002C7BF1">
        <w:rPr>
          <w:rFonts w:cs="AGaramondPro-Regular"/>
        </w:rPr>
        <w:t>praticamente inexistentes, permitindo ao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administrador se focar na gestão de questões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propri</w:t>
      </w:r>
      <w:r w:rsidRPr="002C7BF1">
        <w:rPr>
          <w:rFonts w:cs="AGaramondPro-Regular"/>
        </w:rPr>
        <w:t xml:space="preserve">amente empresariais-gerenciais. </w:t>
      </w:r>
      <w:r w:rsidRPr="002C7BF1">
        <w:rPr>
          <w:rFonts w:cs="AGaramondPro-Regular"/>
        </w:rPr>
        <w:t>As recentes denúncias de corrupção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envolvendo a alta direção da Petrobras,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por e</w:t>
      </w:r>
      <w:r w:rsidRPr="002C7BF1">
        <w:rPr>
          <w:rFonts w:cs="AGaramondPro-Regular"/>
        </w:rPr>
        <w:t xml:space="preserve">xemplo, resultaram como ação da </w:t>
      </w:r>
      <w:r w:rsidRPr="002C7BF1">
        <w:rPr>
          <w:rFonts w:cs="AGaramondPro-Regular"/>
        </w:rPr>
        <w:t>própria empresa a criação de uma Diretoria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de C</w:t>
      </w:r>
      <w:r w:rsidRPr="002C7BF1">
        <w:rPr>
          <w:rFonts w:cs="AGaramondPro-Regular"/>
        </w:rPr>
        <w:t xml:space="preserve">ompliance, objetivando expurgar </w:t>
      </w:r>
      <w:r w:rsidRPr="002C7BF1">
        <w:rPr>
          <w:rFonts w:cs="AGaramondPro-Regular"/>
        </w:rPr>
        <w:t>dúvidas e criar um modelo de controle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em que os riscos jurídicos atrelados à corrupção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são minimizados. “O programa de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compli</w:t>
      </w:r>
      <w:r w:rsidRPr="002C7BF1">
        <w:rPr>
          <w:rFonts w:cs="AGaramondPro-Regular"/>
        </w:rPr>
        <w:t xml:space="preserve">ance não apaga o passado. É uma </w:t>
      </w:r>
      <w:r w:rsidRPr="002C7BF1">
        <w:rPr>
          <w:rFonts w:cs="AGaramondPro-Regular"/>
        </w:rPr>
        <w:t>ferramenta voltada para o futuro. Mas, um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 xml:space="preserve">bom </w:t>
      </w:r>
      <w:r w:rsidRPr="002C7BF1">
        <w:rPr>
          <w:rFonts w:cs="AGaramondPro-Regular"/>
        </w:rPr>
        <w:t xml:space="preserve">programa de compliance, permite </w:t>
      </w:r>
      <w:r w:rsidRPr="002C7BF1">
        <w:rPr>
          <w:rFonts w:cs="AGaramondPro-Regular"/>
        </w:rPr>
        <w:t>ao administrador reconhecer pontos do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passado</w:t>
      </w:r>
      <w:r>
        <w:rPr>
          <w:rFonts w:cs="AGaramondPro-Regular"/>
        </w:rPr>
        <w:t xml:space="preserve"> que têm possibilidade de haver </w:t>
      </w:r>
      <w:r w:rsidRPr="002C7BF1">
        <w:rPr>
          <w:rFonts w:cs="AGaramondPro-Regular"/>
        </w:rPr>
        <w:t xml:space="preserve">deixado </w:t>
      </w:r>
      <w:r w:rsidRPr="002C7BF1">
        <w:rPr>
          <w:rFonts w:cs="AGaramondPro-Regular"/>
        </w:rPr>
        <w:t xml:space="preserve">exposição a riscos, facilitando </w:t>
      </w:r>
      <w:r w:rsidRPr="002C7BF1">
        <w:rPr>
          <w:rFonts w:cs="AGaramondPro-Regular"/>
        </w:rPr>
        <w:t>a adoção de medidas corretivas, quando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possíveis”, opinou o advogado.</w:t>
      </w: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Segundo ele, o compliance não é uma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ferramenta que se volta apenas para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grandes empresas, e sim uma necessidade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premente para toda e qualquer empresa.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“É especialmente útil para as empresas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que possuem negócios com o Poder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Públic</w:t>
      </w:r>
      <w:r w:rsidRPr="002C7BF1">
        <w:rPr>
          <w:rFonts w:cs="AGaramondPro-Regular"/>
        </w:rPr>
        <w:t xml:space="preserve">o, onde a máxima sobre a mulher </w:t>
      </w:r>
      <w:r w:rsidRPr="002C7BF1">
        <w:rPr>
          <w:rFonts w:cs="AGaramondPro-Regular"/>
        </w:rPr>
        <w:t>de César,</w:t>
      </w:r>
      <w:r w:rsidRPr="002C7BF1">
        <w:rPr>
          <w:rFonts w:cs="AGaramondPro-Regular"/>
        </w:rPr>
        <w:t xml:space="preserve"> que não basta ser honesta, mas </w:t>
      </w:r>
      <w:r w:rsidRPr="002C7BF1">
        <w:rPr>
          <w:rFonts w:cs="AGaramondPro-Regular"/>
        </w:rPr>
        <w:t>preci</w:t>
      </w:r>
      <w:r w:rsidRPr="002C7BF1">
        <w:rPr>
          <w:rFonts w:cs="AGaramondPro-Regular"/>
        </w:rPr>
        <w:t xml:space="preserve">sa mostrar que é honesta, é uma </w:t>
      </w:r>
      <w:r w:rsidRPr="002C7BF1">
        <w:rPr>
          <w:rFonts w:cs="AGaramondPro-Regular"/>
        </w:rPr>
        <w:t>preocupação presente”, finalizou Jayme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Petra de Mello Neto.</w:t>
      </w: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>
        <w:rPr>
          <w:rFonts w:cs="AGaramondPro-Regular"/>
        </w:rPr>
        <w:t>**</w:t>
      </w: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</w:pPr>
      <w:r>
        <w:t>TRIBUTÁRIO</w:t>
      </w: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</w:pP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  <w:rPr>
          <w:rFonts w:cs="HelveticaNeue-Light"/>
          <w:b/>
        </w:rPr>
      </w:pPr>
      <w:r w:rsidRPr="002C7BF1">
        <w:rPr>
          <w:rFonts w:cs="HelveticaNeue-Light"/>
          <w:b/>
        </w:rPr>
        <w:t xml:space="preserve">Legislação tributária é reformulada com </w:t>
      </w:r>
      <w:r w:rsidRPr="002C7BF1">
        <w:rPr>
          <w:rFonts w:cs="HelveticaNeue-Light"/>
          <w:b/>
        </w:rPr>
        <w:t>conversão de Medida Provisória em Lei</w:t>
      </w: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rPr>
          <w:rFonts w:cs="HelveticaNeue-Light"/>
          <w:b/>
        </w:rPr>
      </w:pP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rPr>
          <w:rFonts w:cs="HelveticaNeue-LightItalic"/>
          <w:i/>
          <w:iCs/>
        </w:rPr>
      </w:pPr>
      <w:r w:rsidRPr="002C7BF1">
        <w:rPr>
          <w:rFonts w:cs="HelveticaNeue-LightItalic"/>
          <w:i/>
          <w:iCs/>
        </w:rPr>
        <w:t>Alterações previstas no seguro garantia, contribuição previdenciária e PIS/Cofins podem</w:t>
      </w:r>
      <w:r w:rsidRPr="002C7BF1">
        <w:rPr>
          <w:rFonts w:cs="HelveticaNeue-LightItalic"/>
          <w:i/>
          <w:iCs/>
        </w:rPr>
        <w:t xml:space="preserve"> </w:t>
      </w:r>
      <w:r>
        <w:rPr>
          <w:rFonts w:cs="HelveticaNeue-LightItalic"/>
          <w:i/>
          <w:iCs/>
        </w:rPr>
        <w:t>m</w:t>
      </w:r>
      <w:r w:rsidRPr="002C7BF1">
        <w:rPr>
          <w:rFonts w:cs="HelveticaNeue-LightItalic"/>
          <w:i/>
          <w:iCs/>
        </w:rPr>
        <w:t>odificar o atual cenário para as empresas brasileiras</w:t>
      </w: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A Lei nº 13.043 publicada em 14/11/2014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(conversão da Medida Provisória nº651/14) alterou diversos pontos da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legislação tribu</w:t>
      </w:r>
      <w:r>
        <w:rPr>
          <w:rFonts w:cs="AGaramondPro-Regular"/>
        </w:rPr>
        <w:t xml:space="preserve">tária. As especialistas do NELM </w:t>
      </w:r>
      <w:r w:rsidRPr="002C7BF1">
        <w:rPr>
          <w:rFonts w:cs="AGaramondPro-Regular"/>
        </w:rPr>
        <w:t>na área, Aline Corsetti Jubert Guimarães e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Renata Ferreira Leite, explicam as principais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mudanças e suas consequências. Confira:</w:t>
      </w:r>
      <w:r>
        <w:rPr>
          <w:rFonts w:cs="AGaramondPro-Regular"/>
        </w:rPr>
        <w:t xml:space="preserve"> </w:t>
      </w: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  <w:b/>
        </w:rPr>
      </w:pPr>
      <w:r w:rsidRPr="002C7BF1">
        <w:rPr>
          <w:rFonts w:cs="AGaramondPro-Regular"/>
          <w:b/>
        </w:rPr>
        <w:t>1. Seguro garantia na execução fiscal</w:t>
      </w: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A Lei nº 13.043, em seu artigo 73, alterou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diversos dispositivos da Lei nº 6.830/80 (Lei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das Execuções Fiscais – LEF), para equiparar as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apólices de segur</w:t>
      </w:r>
      <w:r>
        <w:rPr>
          <w:rFonts w:cs="AGaramondPro-Regular"/>
        </w:rPr>
        <w:t xml:space="preserve">o-garantia às fianças bancárias </w:t>
      </w:r>
      <w:r w:rsidRPr="002C7BF1">
        <w:rPr>
          <w:rFonts w:cs="AGaramondPro-Regular"/>
        </w:rPr>
        <w:t>no âmbito das execuções fiscais para cobrança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das dívidas ativa federal, estadual/distrital e</w:t>
      </w: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municipal.</w:t>
      </w: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lastRenderedPageBreak/>
        <w:t>Embora o seguro-garantia fosse aceito em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algumas ocasiões no âmbito federal, seja pela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aplicação su</w:t>
      </w:r>
      <w:r>
        <w:rPr>
          <w:rFonts w:cs="AGaramondPro-Regular"/>
        </w:rPr>
        <w:t xml:space="preserve">bsidiária do Código de Processo </w:t>
      </w:r>
      <w:r w:rsidRPr="002C7BF1">
        <w:rPr>
          <w:rFonts w:cs="AGaramondPro-Regular"/>
        </w:rPr>
        <w:t>Civil ao rito das Execuções Fiscais, seja pelo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recente reconhecimento pela Procuradoria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da Fazenda Nacional – PGFN sobre tal possibilidade</w:t>
      </w: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(Portaria PGFN 164/14), a sua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apresentação e</w:t>
      </w:r>
      <w:r>
        <w:rPr>
          <w:rFonts w:cs="AGaramondPro-Regular"/>
        </w:rPr>
        <w:t xml:space="preserve"> aceitação no âmbito estadual e </w:t>
      </w:r>
      <w:r w:rsidRPr="002C7BF1">
        <w:rPr>
          <w:rFonts w:cs="AGaramondPro-Regular"/>
        </w:rPr>
        <w:t>municipal ainda sofria óbices, notadamente em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face da ausên</w:t>
      </w:r>
      <w:r>
        <w:rPr>
          <w:rFonts w:cs="AGaramondPro-Regular"/>
        </w:rPr>
        <w:t xml:space="preserve">cia de previsão expressa na LEF </w:t>
      </w:r>
      <w:r w:rsidRPr="002C7BF1">
        <w:rPr>
          <w:rFonts w:cs="AGaramondPro-Regular"/>
        </w:rPr>
        <w:t>sobre essa possibilidade.</w:t>
      </w: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Nesse sentido, as alt</w:t>
      </w:r>
      <w:r>
        <w:rPr>
          <w:rFonts w:cs="AGaramondPro-Regular"/>
        </w:rPr>
        <w:t xml:space="preserve">erações trazidas pela Lei </w:t>
      </w:r>
      <w:r w:rsidRPr="002C7BF1">
        <w:rPr>
          <w:rFonts w:cs="AGaramondPro-Regular"/>
        </w:rPr>
        <w:t>nº 13.043/14 são especialmente relevantes, pois:</w:t>
      </w:r>
    </w:p>
    <w:p w:rsidR="002C7BF1" w:rsidRPr="00B40880" w:rsidRDefault="00B40880" w:rsidP="00B40880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>
        <w:rPr>
          <w:rFonts w:cs="AGaramondPro-Regular"/>
        </w:rPr>
        <w:t xml:space="preserve">(i) </w:t>
      </w:r>
      <w:r w:rsidR="002C7BF1" w:rsidRPr="00B40880">
        <w:rPr>
          <w:rFonts w:cs="AGaramondPro-Regular"/>
        </w:rPr>
        <w:t>incluem o segur</w:t>
      </w:r>
      <w:r w:rsidR="002C7BF1" w:rsidRPr="00B40880">
        <w:rPr>
          <w:rFonts w:cs="AGaramondPro-Regular"/>
        </w:rPr>
        <w:t xml:space="preserve">o garantia no rol das garantias </w:t>
      </w:r>
      <w:r w:rsidR="002C7BF1" w:rsidRPr="00B40880">
        <w:rPr>
          <w:rFonts w:cs="AGaramondPro-Regular"/>
        </w:rPr>
        <w:t>expressamente admitidas pela LEF; (</w:t>
      </w:r>
      <w:proofErr w:type="spellStart"/>
      <w:r w:rsidR="002C7BF1" w:rsidRPr="00B40880">
        <w:rPr>
          <w:rFonts w:cs="AGaramondPro-Regular"/>
        </w:rPr>
        <w:t>ii</w:t>
      </w:r>
      <w:proofErr w:type="spellEnd"/>
      <w:r w:rsidR="002C7BF1" w:rsidRPr="00B40880">
        <w:rPr>
          <w:rFonts w:cs="AGaramondPro-Regular"/>
        </w:rPr>
        <w:t>) esclarecem</w:t>
      </w:r>
      <w:r w:rsidR="002C7BF1" w:rsidRPr="00B40880">
        <w:rPr>
          <w:rFonts w:cs="AGaramondPro-Regular"/>
        </w:rPr>
        <w:t xml:space="preserve"> </w:t>
      </w:r>
      <w:r w:rsidR="002C7BF1" w:rsidRPr="00B40880">
        <w:rPr>
          <w:rFonts w:cs="AGaramondPro-Regular"/>
        </w:rPr>
        <w:t>que o seguro ga</w:t>
      </w:r>
      <w:r w:rsidR="002C7BF1" w:rsidRPr="00B40880">
        <w:rPr>
          <w:rFonts w:cs="AGaramondPro-Regular"/>
        </w:rPr>
        <w:t xml:space="preserve">rantia produz os mesmos efeitos </w:t>
      </w:r>
      <w:r w:rsidR="002C7BF1" w:rsidRPr="00B40880">
        <w:rPr>
          <w:rFonts w:cs="AGaramondPro-Regular"/>
        </w:rPr>
        <w:t>da penhora, assim como o depósito judicial e a</w:t>
      </w:r>
      <w:r w:rsidR="002C7BF1" w:rsidRPr="00B40880">
        <w:rPr>
          <w:rFonts w:cs="AGaramondPro-Regular"/>
        </w:rPr>
        <w:t xml:space="preserve"> </w:t>
      </w:r>
      <w:r w:rsidR="002C7BF1" w:rsidRPr="00B40880">
        <w:rPr>
          <w:rFonts w:cs="AGaramondPro-Regular"/>
        </w:rPr>
        <w:t>fiança bancária; (</w:t>
      </w:r>
      <w:proofErr w:type="spellStart"/>
      <w:r w:rsidR="002C7BF1" w:rsidRPr="00B40880">
        <w:rPr>
          <w:rFonts w:cs="AGaramondPro-Regular"/>
        </w:rPr>
        <w:t>i</w:t>
      </w:r>
      <w:r w:rsidR="002C7BF1" w:rsidRPr="00B40880">
        <w:rPr>
          <w:rFonts w:cs="AGaramondPro-Regular"/>
        </w:rPr>
        <w:t>ii</w:t>
      </w:r>
      <w:proofErr w:type="spellEnd"/>
      <w:r w:rsidR="002C7BF1" w:rsidRPr="00B40880">
        <w:rPr>
          <w:rFonts w:cs="AGaramondPro-Regular"/>
        </w:rPr>
        <w:t xml:space="preserve">) permitem que o contribuinte </w:t>
      </w:r>
      <w:r w:rsidR="002C7BF1" w:rsidRPr="00B40880">
        <w:rPr>
          <w:rFonts w:cs="AGaramondPro-Regular"/>
        </w:rPr>
        <w:t>executado substitua a penhora sofrida por seguro</w:t>
      </w:r>
      <w:r w:rsidR="002C7BF1" w:rsidRPr="00B40880">
        <w:rPr>
          <w:rFonts w:cs="AGaramondPro-Regular"/>
        </w:rPr>
        <w:t xml:space="preserve"> </w:t>
      </w:r>
      <w:r w:rsidR="002C7BF1" w:rsidRPr="00B40880">
        <w:rPr>
          <w:rFonts w:cs="AGaramondPro-Regular"/>
        </w:rPr>
        <w:t>garantia em qualquer fase do processo.</w:t>
      </w:r>
    </w:p>
    <w:p w:rsidR="002C7BF1" w:rsidRPr="002C7BF1" w:rsidRDefault="002C7BF1" w:rsidP="002C7BF1">
      <w:pPr>
        <w:pStyle w:val="PargrafodaLista"/>
        <w:autoSpaceDE w:val="0"/>
        <w:autoSpaceDN w:val="0"/>
        <w:adjustRightInd w:val="0"/>
        <w:spacing w:after="0" w:line="240" w:lineRule="auto"/>
        <w:ind w:left="1080"/>
        <w:jc w:val="both"/>
        <w:rPr>
          <w:rFonts w:cs="AGaramondPro-Regular"/>
        </w:rPr>
      </w:pP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  <w:b/>
        </w:rPr>
      </w:pPr>
      <w:r w:rsidRPr="002C7BF1">
        <w:rPr>
          <w:rFonts w:cs="AGaramondPro-Regular"/>
          <w:b/>
        </w:rPr>
        <w:t>2. Contribuição Previdenciária sobre a</w:t>
      </w:r>
      <w:r w:rsidRPr="002C7BF1">
        <w:rPr>
          <w:rFonts w:cs="AGaramondPro-Regular"/>
          <w:b/>
        </w:rPr>
        <w:t xml:space="preserve"> </w:t>
      </w:r>
      <w:r w:rsidRPr="002C7BF1">
        <w:rPr>
          <w:rFonts w:cs="AGaramondPro-Regular"/>
          <w:b/>
        </w:rPr>
        <w:t>Receita Bruta – permanente</w:t>
      </w: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A CPRB, instituída pela Lei nº 12.546/11,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em substituição à contribuição patronal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incidente sobre a folha de pagamento de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 xml:space="preserve">empregados </w:t>
      </w:r>
      <w:r>
        <w:rPr>
          <w:rFonts w:cs="AGaramondPro-Regular"/>
        </w:rPr>
        <w:t xml:space="preserve">e autônomos, teve como objetivo </w:t>
      </w:r>
      <w:r w:rsidRPr="002C7BF1">
        <w:rPr>
          <w:rFonts w:cs="AGaramondPro-Regular"/>
        </w:rPr>
        <w:t>a desoneração tributária, além da promoção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da formalizaç</w:t>
      </w:r>
      <w:r>
        <w:rPr>
          <w:rFonts w:cs="AGaramondPro-Regular"/>
        </w:rPr>
        <w:t xml:space="preserve">ão do contrato de trabalho para </w:t>
      </w:r>
      <w:r w:rsidRPr="002C7BF1">
        <w:rPr>
          <w:rFonts w:cs="AGaramondPro-Regular"/>
        </w:rPr>
        <w:t>alguns setores da economia e, a princípio, foi</w:t>
      </w:r>
      <w:r w:rsidRPr="002C7BF1">
        <w:rPr>
          <w:rFonts w:cs="AGaramondPro-Regular"/>
        </w:rPr>
        <w:t xml:space="preserve"> </w:t>
      </w:r>
      <w:r w:rsidRPr="002C7BF1">
        <w:rPr>
          <w:rFonts w:cs="AGaramondPro-Regular"/>
        </w:rPr>
        <w:t>concebida para ser provisória com prazo até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31/12/2014.</w:t>
      </w: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Recentemente, a Lei nº 13.043/14 tornou a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medida permanent</w:t>
      </w:r>
      <w:r>
        <w:rPr>
          <w:rFonts w:cs="AGaramondPro-Regular"/>
        </w:rPr>
        <w:t xml:space="preserve">e, mas com vigência (aplicação) </w:t>
      </w:r>
      <w:r w:rsidRPr="002C7BF1">
        <w:rPr>
          <w:rFonts w:cs="AGaramondPro-Regular"/>
        </w:rPr>
        <w:t>a partir d</w:t>
      </w:r>
      <w:r>
        <w:rPr>
          <w:rFonts w:cs="AGaramondPro-Regular"/>
        </w:rPr>
        <w:t xml:space="preserve">e 1º de março de 2015. Ou seja, </w:t>
      </w:r>
      <w:r w:rsidRPr="002C7BF1">
        <w:rPr>
          <w:rFonts w:cs="AGaramondPro-Regular"/>
        </w:rPr>
        <w:t xml:space="preserve">no período compreendido entre </w:t>
      </w:r>
      <w:r>
        <w:rPr>
          <w:rFonts w:cs="AGaramondPro-Regular"/>
        </w:rPr>
        <w:t xml:space="preserve">1º/01/2015 </w:t>
      </w:r>
      <w:r w:rsidRPr="002C7BF1">
        <w:rPr>
          <w:rFonts w:cs="AGaramondPro-Regular"/>
        </w:rPr>
        <w:t>a 30/04/2015, as empresas recolherão a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contribuição previdenciária sobre a folha de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pagamento, tal como era no regime anterior e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somente a partir de 1º/03 voltarão a recolher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a contribuição sobe a receita bruta.</w:t>
      </w: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Até o momento não foi publicada nenhuma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regulamentação s</w:t>
      </w:r>
      <w:r>
        <w:rPr>
          <w:rFonts w:cs="AGaramondPro-Regular"/>
        </w:rPr>
        <w:t xml:space="preserve">obre esse período de transição, </w:t>
      </w:r>
      <w:r w:rsidRPr="002C7BF1">
        <w:rPr>
          <w:rFonts w:cs="AGaramondPro-Regular"/>
        </w:rPr>
        <w:t>de modo</w:t>
      </w:r>
      <w:r>
        <w:rPr>
          <w:rFonts w:cs="AGaramondPro-Regular"/>
        </w:rPr>
        <w:t xml:space="preserve"> que só se pode concluir que na prática ocorrerá dessa forma. </w:t>
      </w: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Muito se questionou, à época da instituição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 xml:space="preserve">da CPRB, sobre a sua </w:t>
      </w:r>
      <w:r>
        <w:rPr>
          <w:rFonts w:cs="AGaramondPro-Regular"/>
        </w:rPr>
        <w:t xml:space="preserve">efetiva desoneração tributária. </w:t>
      </w:r>
      <w:r w:rsidRPr="002C7BF1">
        <w:rPr>
          <w:rFonts w:cs="AGaramondPro-Regular"/>
        </w:rPr>
        <w:t>Algumas empresas, de fato, apuraram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tal benefício (aquelas com baixo faturamento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e alto valor de folha de pagamento), mas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muitas ob</w:t>
      </w:r>
      <w:r>
        <w:rPr>
          <w:rFonts w:cs="AGaramondPro-Regular"/>
        </w:rPr>
        <w:t xml:space="preserve">servarem o oposto, o aumento da </w:t>
      </w:r>
      <w:r w:rsidRPr="002C7BF1">
        <w:rPr>
          <w:rFonts w:cs="AGaramondPro-Regular"/>
        </w:rPr>
        <w:t>carga tributária em razão do alto faturamento</w:t>
      </w:r>
      <w:r>
        <w:rPr>
          <w:rFonts w:cs="AGaramondPro-Regular"/>
        </w:rPr>
        <w:t xml:space="preserve"> </w:t>
      </w:r>
      <w:r w:rsidRPr="002C7BF1">
        <w:rPr>
          <w:rFonts w:cs="AGaramondPro-Regular"/>
        </w:rPr>
        <w:t>em contrap</w:t>
      </w:r>
      <w:r>
        <w:rPr>
          <w:rFonts w:cs="AGaramondPro-Regular"/>
        </w:rPr>
        <w:t xml:space="preserve">artida a uma folha de pagamento </w:t>
      </w:r>
      <w:r w:rsidRPr="002C7BF1">
        <w:rPr>
          <w:rFonts w:cs="AGaramondPro-Regular"/>
        </w:rPr>
        <w:t>menos onerosa.</w:t>
      </w: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  <w:b/>
        </w:rPr>
      </w:pPr>
      <w:r w:rsidRPr="002C7BF1">
        <w:rPr>
          <w:rFonts w:cs="AGaramondPro-Regular"/>
          <w:b/>
        </w:rPr>
        <w:t>3. PIS e COFINS – incidência sobre a receita</w:t>
      </w:r>
      <w:r w:rsidRPr="002C7BF1">
        <w:rPr>
          <w:rFonts w:cs="AGaramondPro-Regular"/>
          <w:b/>
        </w:rPr>
        <w:t xml:space="preserve"> </w:t>
      </w:r>
      <w:r w:rsidRPr="002C7BF1">
        <w:rPr>
          <w:rFonts w:cs="AGaramondPro-Regular"/>
          <w:b/>
        </w:rPr>
        <w:t>de alienação de participação societária</w:t>
      </w:r>
    </w:p>
    <w:p w:rsidR="00B40880" w:rsidRDefault="00B40880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A Lei nº 13.043/14 alterou também a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legislação sobre PIS e COFINS – regimes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cumulativos e não cumulativos, quanto à incidência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sobre a receita oriunda de alienação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de participação societária.</w:t>
      </w:r>
    </w:p>
    <w:p w:rsidR="00B40880" w:rsidRDefault="00B40880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A partir de 1º de janeiro de 2015 valem duas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regras novas:</w:t>
      </w:r>
    </w:p>
    <w:p w:rsidR="00B40880" w:rsidRDefault="00B40880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1ª: Quanto à recei</w:t>
      </w:r>
      <w:r w:rsidR="00B40880">
        <w:rPr>
          <w:rFonts w:cs="AGaramondPro-Regular"/>
        </w:rPr>
        <w:t xml:space="preserve">ta da alienação de participação </w:t>
      </w:r>
      <w:r w:rsidRPr="002C7BF1">
        <w:rPr>
          <w:rFonts w:cs="AGaramondPro-Regular"/>
        </w:rPr>
        <w:t>societária, deve ser aplicado o regime cumulativo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també</w:t>
      </w:r>
      <w:r w:rsidR="00B40880">
        <w:rPr>
          <w:rFonts w:cs="AGaramondPro-Regular"/>
        </w:rPr>
        <w:t xml:space="preserve">m para as empresas que recolhem </w:t>
      </w:r>
      <w:r w:rsidRPr="002C7BF1">
        <w:rPr>
          <w:rFonts w:cs="AGaramondPro-Regular"/>
        </w:rPr>
        <w:t>as contribuições pelo regime não cumulativo.</w:t>
      </w:r>
    </w:p>
    <w:p w:rsidR="00B40880" w:rsidRPr="002C7BF1" w:rsidRDefault="00B40880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2ª: Alteração d</w:t>
      </w:r>
      <w:r w:rsidR="00B40880">
        <w:rPr>
          <w:rFonts w:cs="AGaramondPro-Regular"/>
        </w:rPr>
        <w:t xml:space="preserve">a alíquota da COFINS – alíquota </w:t>
      </w:r>
      <w:r w:rsidRPr="002C7BF1">
        <w:rPr>
          <w:rFonts w:cs="AGaramondPro-Regular"/>
        </w:rPr>
        <w:t>majorada para 4% para estas operações.</w:t>
      </w:r>
    </w:p>
    <w:p w:rsidR="00B40880" w:rsidRPr="002C7BF1" w:rsidRDefault="00B40880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B40880" w:rsidRDefault="00B40880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Pr="00B40880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  <w:b/>
        </w:rPr>
      </w:pPr>
      <w:r w:rsidRPr="00B40880">
        <w:rPr>
          <w:rFonts w:cs="AGaramondPro-Regular"/>
          <w:b/>
        </w:rPr>
        <w:t>4. IRPF – isenção na alienação em bolsa</w:t>
      </w:r>
      <w:r w:rsidR="00B40880" w:rsidRPr="00B40880">
        <w:rPr>
          <w:rFonts w:cs="AGaramondPro-Regular"/>
          <w:b/>
        </w:rPr>
        <w:t xml:space="preserve"> </w:t>
      </w:r>
      <w:r w:rsidRPr="00B40880">
        <w:rPr>
          <w:rFonts w:cs="AGaramondPro-Regular"/>
          <w:b/>
        </w:rPr>
        <w:t>de valores de ações de pequenas e médias</w:t>
      </w:r>
      <w:r w:rsidR="00B40880" w:rsidRPr="00B40880">
        <w:rPr>
          <w:rFonts w:cs="AGaramondPro-Regular"/>
          <w:b/>
        </w:rPr>
        <w:t xml:space="preserve"> </w:t>
      </w:r>
      <w:r w:rsidRPr="00B40880">
        <w:rPr>
          <w:rFonts w:cs="AGaramondPro-Regular"/>
          <w:b/>
        </w:rPr>
        <w:t>empresas</w:t>
      </w:r>
    </w:p>
    <w:p w:rsidR="00B40880" w:rsidRPr="002C7BF1" w:rsidRDefault="00B40880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lastRenderedPageBreak/>
        <w:t>A partir de 14/11/2014 a pessoa física que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adquiriu ações a partir de 10/07/2014 está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isenta do imposto de renda sobre o ganho de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capital até 31</w:t>
      </w:r>
      <w:r w:rsidR="00B40880">
        <w:rPr>
          <w:rFonts w:cs="AGaramondPro-Regular"/>
        </w:rPr>
        <w:t xml:space="preserve">/12/2023 na alienação realizada </w:t>
      </w:r>
      <w:r w:rsidRPr="002C7BF1">
        <w:rPr>
          <w:rFonts w:cs="AGaramondPro-Regular"/>
        </w:rPr>
        <w:t>no mercado à vista de bolsas de valores de ações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que tenham</w:t>
      </w:r>
      <w:r w:rsidR="00B40880">
        <w:rPr>
          <w:rFonts w:cs="AGaramondPro-Regular"/>
        </w:rPr>
        <w:t xml:space="preserve"> sido emitidas por empresas que </w:t>
      </w:r>
      <w:r w:rsidRPr="002C7BF1">
        <w:rPr>
          <w:rFonts w:cs="AGaramondPro-Regular"/>
        </w:rPr>
        <w:t>cumpram determinados requisitos de forma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cumulativa, como, por exemplo:</w:t>
      </w:r>
    </w:p>
    <w:p w:rsidR="00B40880" w:rsidRPr="002C7BF1" w:rsidRDefault="00B40880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• Assegure contratualmente práticas diferenciadas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de governança corporativa</w:t>
      </w: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• Tenham valor de mercado inferior a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R$ 700.000.000,00 (setecentos milhões de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reais)</w:t>
      </w: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• Tenham receita bruta anual inferior a R$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500.000.000,00 (quinhentos milhões de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reais)</w:t>
      </w:r>
    </w:p>
    <w:p w:rsidR="00B40880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• Que tenha distribuição primária correspondente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ao mínimo de 67% do volume total de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ações emitidas</w:t>
      </w:r>
      <w:r w:rsidR="00B40880">
        <w:rPr>
          <w:rFonts w:cs="AGaramondPro-Regular"/>
        </w:rPr>
        <w:t xml:space="preserve"> </w:t>
      </w:r>
    </w:p>
    <w:p w:rsidR="00B40880" w:rsidRDefault="00B40880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A isenção também se aplica sobre os rendimentos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de fundos de investimento em ações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constituídos so</w:t>
      </w:r>
      <w:r w:rsidR="00B40880">
        <w:rPr>
          <w:rFonts w:cs="AGaramondPro-Regular"/>
        </w:rPr>
        <w:t xml:space="preserve">b a forma de condomínio aberto, </w:t>
      </w:r>
      <w:r w:rsidRPr="002C7BF1">
        <w:rPr>
          <w:rFonts w:cs="AGaramondPro-Regular"/>
        </w:rPr>
        <w:t>desde que também atendidos aos requ</w:t>
      </w:r>
      <w:r w:rsidR="00B40880">
        <w:rPr>
          <w:rFonts w:cs="AGaramondPro-Regular"/>
        </w:rPr>
        <w:t xml:space="preserve">isitos </w:t>
      </w:r>
      <w:r w:rsidRPr="002C7BF1">
        <w:rPr>
          <w:rFonts w:cs="AGaramondPro-Regular"/>
        </w:rPr>
        <w:t>legais específicos.</w:t>
      </w: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B40880" w:rsidRPr="002C7BF1" w:rsidRDefault="00B40880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Pr="00B40880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  <w:b/>
        </w:rPr>
      </w:pPr>
      <w:r w:rsidRPr="00B40880">
        <w:rPr>
          <w:rFonts w:cs="AGaramondPro-Regular"/>
          <w:b/>
        </w:rPr>
        <w:t>5. Des</w:t>
      </w:r>
      <w:r w:rsidR="00B40880" w:rsidRPr="00B40880">
        <w:rPr>
          <w:rFonts w:cs="AGaramondPro-Regular"/>
          <w:b/>
        </w:rPr>
        <w:t xml:space="preserve">oneração de PIS/COFINS na venda </w:t>
      </w:r>
      <w:r w:rsidRPr="00B40880">
        <w:rPr>
          <w:rFonts w:cs="AGaramondPro-Regular"/>
          <w:b/>
        </w:rPr>
        <w:t>de equip</w:t>
      </w:r>
      <w:r w:rsidR="00B40880" w:rsidRPr="00B40880">
        <w:rPr>
          <w:rFonts w:cs="AGaramondPro-Regular"/>
          <w:b/>
        </w:rPr>
        <w:t xml:space="preserve">amentos ou materiais destinados </w:t>
      </w:r>
      <w:r w:rsidRPr="00B40880">
        <w:rPr>
          <w:rFonts w:cs="AGaramondPro-Regular"/>
          <w:b/>
        </w:rPr>
        <w:t>a uso médico, hospitalar, clínico ou</w:t>
      </w:r>
      <w:r w:rsidR="00B40880" w:rsidRPr="00B40880">
        <w:rPr>
          <w:rFonts w:cs="AGaramondPro-Regular"/>
          <w:b/>
        </w:rPr>
        <w:t xml:space="preserve"> </w:t>
      </w:r>
      <w:r w:rsidRPr="00B40880">
        <w:rPr>
          <w:rFonts w:cs="AGaramondPro-Regular"/>
          <w:b/>
        </w:rPr>
        <w:t>laboratorial</w:t>
      </w:r>
    </w:p>
    <w:p w:rsidR="00B40880" w:rsidRPr="002C7BF1" w:rsidRDefault="00B40880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A partir de 14/11/2014 as alíquotas das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referidas contribuições ficam reduzidas a zero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sobre a receita decorrente da venda de equipamentos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ou mat</w:t>
      </w:r>
      <w:r w:rsidR="00B40880">
        <w:rPr>
          <w:rFonts w:cs="AGaramondPro-Regular"/>
        </w:rPr>
        <w:t xml:space="preserve">eriais destinados a uso médico, </w:t>
      </w:r>
      <w:r w:rsidRPr="002C7BF1">
        <w:rPr>
          <w:rFonts w:cs="AGaramondPro-Regular"/>
        </w:rPr>
        <w:t>hospitalar, clínico ou laboratorial, somente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aqueles listad</w:t>
      </w:r>
      <w:r w:rsidR="00B40880">
        <w:rPr>
          <w:rFonts w:cs="AGaramondPro-Regular"/>
        </w:rPr>
        <w:t xml:space="preserve">os pelo Poder Executivo, quando </w:t>
      </w:r>
      <w:r w:rsidRPr="002C7BF1">
        <w:rPr>
          <w:rFonts w:cs="AGaramondPro-Regular"/>
        </w:rPr>
        <w:t>adquiridos pelo Governo ou por entidades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beneficentes d</w:t>
      </w:r>
      <w:r w:rsidR="00B40880">
        <w:rPr>
          <w:rFonts w:cs="AGaramondPro-Regular"/>
        </w:rPr>
        <w:t xml:space="preserve">e assistência social portadoras </w:t>
      </w:r>
      <w:r w:rsidRPr="002C7BF1">
        <w:rPr>
          <w:rFonts w:cs="AGaramondPro-Regular"/>
        </w:rPr>
        <w:t>do CEBAS.</w:t>
      </w:r>
    </w:p>
    <w:p w:rsidR="00B40880" w:rsidRDefault="00B40880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B40880" w:rsidRDefault="00B40880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  <w:b/>
        </w:rPr>
      </w:pPr>
      <w:r w:rsidRPr="00B40880">
        <w:rPr>
          <w:rFonts w:cs="AGaramondPro-Regular"/>
          <w:b/>
        </w:rPr>
        <w:t>6. COFINS – construção civil</w:t>
      </w:r>
    </w:p>
    <w:p w:rsidR="00B40880" w:rsidRPr="00B40880" w:rsidRDefault="00B40880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  <w:b/>
        </w:rPr>
      </w:pPr>
    </w:p>
    <w:p w:rsidR="002C7BF1" w:rsidRP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2C7BF1">
        <w:rPr>
          <w:rFonts w:cs="AGaramondPro-Regular"/>
        </w:rPr>
        <w:t>A partir de 14/11/2014 as receitas decorrentes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da execução por administração, empreitada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ou subempreitada de obras de construção civil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>permanecem</w:t>
      </w:r>
      <w:r w:rsidR="00B40880">
        <w:rPr>
          <w:rFonts w:cs="AGaramondPro-Regular"/>
        </w:rPr>
        <w:t xml:space="preserve"> sujeitas ao regime cumulativo, </w:t>
      </w:r>
      <w:r w:rsidRPr="002C7BF1">
        <w:rPr>
          <w:rFonts w:cs="AGaramondPro-Regular"/>
        </w:rPr>
        <w:t>mesmo quando as operações forem realizadas</w:t>
      </w:r>
      <w:r w:rsidR="00B40880">
        <w:rPr>
          <w:rFonts w:cs="AGaramondPro-Regular"/>
        </w:rPr>
        <w:t xml:space="preserve"> </w:t>
      </w:r>
      <w:r w:rsidRPr="002C7BF1">
        <w:rPr>
          <w:rFonts w:cs="AGaramondPro-Regular"/>
        </w:rPr>
        <w:t xml:space="preserve">por empresas </w:t>
      </w:r>
      <w:r w:rsidR="00B40880">
        <w:rPr>
          <w:rFonts w:cs="AGaramondPro-Regular"/>
        </w:rPr>
        <w:t xml:space="preserve">sujeitas à apuração pelo regime </w:t>
      </w:r>
      <w:r w:rsidRPr="002C7BF1">
        <w:rPr>
          <w:rFonts w:cs="AGaramondPro-Regular"/>
        </w:rPr>
        <w:t>não cumulativo.</w:t>
      </w:r>
    </w:p>
    <w:p w:rsidR="002C7BF1" w:rsidRDefault="002C7BF1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B40880" w:rsidRDefault="00B40880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B40880" w:rsidRDefault="00B40880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>
        <w:rPr>
          <w:rFonts w:cs="AGaramondPro-Regular"/>
        </w:rPr>
        <w:t>**</w:t>
      </w:r>
    </w:p>
    <w:p w:rsidR="00B40880" w:rsidRDefault="00B40880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B40880" w:rsidRDefault="00B40880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>
        <w:rPr>
          <w:rFonts w:cs="AGaramondPro-Regular"/>
        </w:rPr>
        <w:t>IMOBILIÁRIO</w:t>
      </w:r>
    </w:p>
    <w:p w:rsidR="00B40880" w:rsidRDefault="00B40880" w:rsidP="002C7BF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B40880" w:rsidRPr="00B40880" w:rsidRDefault="00B40880" w:rsidP="00B40880">
      <w:pPr>
        <w:autoSpaceDE w:val="0"/>
        <w:autoSpaceDN w:val="0"/>
        <w:adjustRightInd w:val="0"/>
        <w:spacing w:after="0" w:line="240" w:lineRule="auto"/>
        <w:rPr>
          <w:rFonts w:cs="HelveticaNeue-Light"/>
          <w:b/>
        </w:rPr>
      </w:pPr>
      <w:r w:rsidRPr="00B40880">
        <w:rPr>
          <w:rFonts w:cs="HelveticaNeue-Light"/>
          <w:b/>
        </w:rPr>
        <w:t>Locação de imóvel para temporada exige</w:t>
      </w:r>
      <w:r w:rsidRPr="00B40880">
        <w:rPr>
          <w:rFonts w:cs="HelveticaNeue-Light"/>
          <w:b/>
        </w:rPr>
        <w:t xml:space="preserve"> </w:t>
      </w:r>
      <w:r w:rsidRPr="00B40880">
        <w:rPr>
          <w:rFonts w:cs="HelveticaNeue-Light"/>
          <w:b/>
        </w:rPr>
        <w:t>cuidados na celebração do contrato</w:t>
      </w:r>
    </w:p>
    <w:p w:rsidR="00B40880" w:rsidRPr="00B40880" w:rsidRDefault="00B40880" w:rsidP="00B40880">
      <w:pPr>
        <w:autoSpaceDE w:val="0"/>
        <w:autoSpaceDN w:val="0"/>
        <w:adjustRightInd w:val="0"/>
        <w:spacing w:after="0" w:line="240" w:lineRule="auto"/>
        <w:rPr>
          <w:rFonts w:cs="HelveticaNeue-Light"/>
          <w:color w:val="D0CEC5"/>
        </w:rPr>
      </w:pPr>
    </w:p>
    <w:p w:rsidR="00B40880" w:rsidRPr="00B40880" w:rsidRDefault="00B40880" w:rsidP="00B40880">
      <w:pPr>
        <w:autoSpaceDE w:val="0"/>
        <w:autoSpaceDN w:val="0"/>
        <w:adjustRightInd w:val="0"/>
        <w:spacing w:after="0" w:line="240" w:lineRule="auto"/>
        <w:rPr>
          <w:rFonts w:cs="HelveticaNeue-LightItalic"/>
          <w:i/>
          <w:iCs/>
        </w:rPr>
      </w:pPr>
      <w:r w:rsidRPr="00B40880">
        <w:rPr>
          <w:rFonts w:cs="HelveticaNeue-LightItalic"/>
          <w:i/>
          <w:iCs/>
        </w:rPr>
        <w:t>Advogado do NELM dá dicas</w:t>
      </w:r>
      <w:r w:rsidRPr="00B40880">
        <w:rPr>
          <w:rFonts w:cs="HelveticaNeue-LightItalic"/>
          <w:i/>
          <w:iCs/>
        </w:rPr>
        <w:t xml:space="preserve"> </w:t>
      </w:r>
      <w:r w:rsidRPr="00B40880">
        <w:rPr>
          <w:rFonts w:cs="HelveticaNeue-LightItalic"/>
          <w:i/>
          <w:iCs/>
        </w:rPr>
        <w:t>para quem pretende alugar</w:t>
      </w:r>
      <w:r w:rsidRPr="00B40880">
        <w:rPr>
          <w:rFonts w:cs="HelveticaNeue-LightItalic"/>
          <w:i/>
          <w:iCs/>
        </w:rPr>
        <w:t xml:space="preserve"> casa ou apartamento durante </w:t>
      </w:r>
      <w:r w:rsidRPr="00B40880">
        <w:rPr>
          <w:rFonts w:cs="HelveticaNeue-LightItalic"/>
          <w:i/>
          <w:iCs/>
        </w:rPr>
        <w:t>as férias de fim de ano</w:t>
      </w:r>
    </w:p>
    <w:p w:rsidR="00B40880" w:rsidRPr="00B40880" w:rsidRDefault="00B40880" w:rsidP="00B40880">
      <w:pPr>
        <w:autoSpaceDE w:val="0"/>
        <w:autoSpaceDN w:val="0"/>
        <w:adjustRightInd w:val="0"/>
        <w:spacing w:after="0" w:line="240" w:lineRule="auto"/>
        <w:rPr>
          <w:rFonts w:cs="HelveticaNeue-LightItalic"/>
          <w:i/>
          <w:iCs/>
          <w:color w:val="758B97"/>
        </w:rPr>
      </w:pPr>
    </w:p>
    <w:p w:rsidR="00B40880" w:rsidRDefault="00B40880" w:rsidP="00B40880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B40880">
        <w:rPr>
          <w:rFonts w:cs="AGaramondPro-Regular"/>
        </w:rPr>
        <w:t>Com a proximidade do Natal, véspera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de “Ano Novo” e, principalmente, em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virtude das férias coletivas de empresas,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recessos na administração pública e férias escolares,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é comum no final de ano a realização de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viagens domésticas para as mais variadas regiões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do Brasil. Seja no interior ou litoral, é comum a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locação de casas, apartamentos ou chácaras por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períodos curtos para curtir o merecido descanso.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Nesse ponto,</w:t>
      </w:r>
      <w:r>
        <w:rPr>
          <w:rFonts w:cs="AGaramondPro-Regular"/>
        </w:rPr>
        <w:t xml:space="preserve"> tanto o proprietário do imóvel </w:t>
      </w:r>
      <w:r w:rsidRPr="00B40880">
        <w:rPr>
          <w:rFonts w:cs="AGaramondPro-Regular"/>
        </w:rPr>
        <w:t>quanto o locatário deverão tomar algumas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cautelas para q</w:t>
      </w:r>
      <w:r>
        <w:rPr>
          <w:rFonts w:cs="AGaramondPro-Regular"/>
        </w:rPr>
        <w:t xml:space="preserve">ue a renda extra ou as próprias </w:t>
      </w:r>
      <w:r w:rsidRPr="00B40880">
        <w:rPr>
          <w:rFonts w:cs="AGaramondPro-Regular"/>
        </w:rPr>
        <w:t>férias, conforme o caso, não sejam “frustradas”.</w:t>
      </w:r>
    </w:p>
    <w:p w:rsidR="00B40880" w:rsidRPr="00B40880" w:rsidRDefault="00B40880" w:rsidP="00B40880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B40880" w:rsidRDefault="00B40880" w:rsidP="00B40880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B40880">
        <w:rPr>
          <w:rFonts w:cs="AGaramondPro-Regular"/>
        </w:rPr>
        <w:t>A despe</w:t>
      </w:r>
      <w:r>
        <w:rPr>
          <w:rFonts w:cs="AGaramondPro-Regular"/>
        </w:rPr>
        <w:t xml:space="preserve">ito do clima de descontração, é </w:t>
      </w:r>
      <w:r w:rsidRPr="00B40880">
        <w:rPr>
          <w:rFonts w:cs="AGaramondPro-Regular"/>
        </w:rPr>
        <w:t xml:space="preserve">recomendável </w:t>
      </w:r>
      <w:r>
        <w:rPr>
          <w:rFonts w:cs="AGaramondPro-Regular"/>
        </w:rPr>
        <w:t xml:space="preserve">que locador e locatário assinem </w:t>
      </w:r>
      <w:r w:rsidRPr="00B40880">
        <w:rPr>
          <w:rFonts w:cs="AGaramondPro-Regular"/>
        </w:rPr>
        <w:t>contrato escrito de locação para temporada,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estabelecendo direitos e deveres. “A primeira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 xml:space="preserve">dica se </w:t>
      </w:r>
      <w:r w:rsidRPr="00B40880">
        <w:rPr>
          <w:rFonts w:cs="AGaramondPro-Regular"/>
        </w:rPr>
        <w:lastRenderedPageBreak/>
        <w:t>relaciona</w:t>
      </w:r>
      <w:r>
        <w:rPr>
          <w:rFonts w:cs="AGaramondPro-Regular"/>
        </w:rPr>
        <w:t xml:space="preserve"> ao prazo do contrato. A Lei do </w:t>
      </w:r>
      <w:r w:rsidRPr="00B40880">
        <w:rPr>
          <w:rFonts w:cs="AGaramondPro-Regular"/>
        </w:rPr>
        <w:t>Inquilinato re</w:t>
      </w:r>
      <w:r>
        <w:rPr>
          <w:rFonts w:cs="AGaramondPro-Regular"/>
        </w:rPr>
        <w:t xml:space="preserve">stringe a locação por temporada </w:t>
      </w:r>
      <w:r w:rsidRPr="00B40880">
        <w:rPr>
          <w:rFonts w:cs="AGaramondPro-Regular"/>
        </w:rPr>
        <w:t>ao prazo máximo de 90 (noventa) dias. Assim, é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 xml:space="preserve">importante deixar claro o prazo da </w:t>
      </w:r>
      <w:r>
        <w:rPr>
          <w:rFonts w:cs="AGaramondPro-Regular"/>
        </w:rPr>
        <w:t xml:space="preserve">permanência </w:t>
      </w:r>
      <w:r w:rsidRPr="00B40880">
        <w:rPr>
          <w:rFonts w:cs="AGaramondPro-Regular"/>
        </w:rPr>
        <w:t>no imóvel, respeitando-se o limite legal”, explico</w:t>
      </w:r>
      <w:r>
        <w:rPr>
          <w:rFonts w:cs="AGaramondPro-Regular"/>
        </w:rPr>
        <w:t xml:space="preserve">u </w:t>
      </w:r>
      <w:r w:rsidRPr="00B40880">
        <w:rPr>
          <w:rFonts w:cs="AGaramondPro-Regular"/>
        </w:rPr>
        <w:t>o especialista do NELM em Direito Imobiliário,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Danilo Camargo. Ainda tratando do prazo da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locação, ele ressalta que é muito importante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esclarecer que findo o prazo ajustado, se o locatário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permanecer no imóvel sem oposição do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locador por mais de trinta dias, pre</w:t>
      </w:r>
      <w:r>
        <w:rPr>
          <w:rFonts w:cs="AGaramondPro-Regular"/>
        </w:rPr>
        <w:t xml:space="preserve">sumir-se-á </w:t>
      </w:r>
      <w:r w:rsidRPr="00B40880">
        <w:rPr>
          <w:rFonts w:cs="AGaramondPro-Regular"/>
        </w:rPr>
        <w:t>prorrogada a locação por tempo indeterminado,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sendo que o l</w:t>
      </w:r>
      <w:r>
        <w:rPr>
          <w:rFonts w:cs="AGaramondPro-Regular"/>
        </w:rPr>
        <w:t xml:space="preserve">ocador somente poderá denunciar </w:t>
      </w:r>
      <w:r w:rsidRPr="00B40880">
        <w:rPr>
          <w:rFonts w:cs="AGaramondPro-Regular"/>
        </w:rPr>
        <w:t>o contrato após trinta meses de seu início ou nas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hipóteses prev</w:t>
      </w:r>
      <w:r>
        <w:rPr>
          <w:rFonts w:cs="AGaramondPro-Regular"/>
        </w:rPr>
        <w:t xml:space="preserve">istas em Lei, como por exemplo, </w:t>
      </w:r>
      <w:r w:rsidRPr="00B40880">
        <w:rPr>
          <w:rFonts w:cs="AGaramondPro-Regular"/>
        </w:rPr>
        <w:t>em decorrência da prática de infração legal ou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 xml:space="preserve">contratual, ou </w:t>
      </w:r>
      <w:r>
        <w:rPr>
          <w:rFonts w:cs="AGaramondPro-Regular"/>
        </w:rPr>
        <w:t xml:space="preserve">falta de pagamento do aluguel e </w:t>
      </w:r>
      <w:r w:rsidRPr="00B40880">
        <w:rPr>
          <w:rFonts w:cs="AGaramondPro-Regular"/>
        </w:rPr>
        <w:t>demais encargos. “Após o término do prazo fixado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em contrato, deverá o locador notificar o locatário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caso este não deixe o imóvel na data combinada.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Caso contrári</w:t>
      </w:r>
      <w:r>
        <w:rPr>
          <w:rFonts w:cs="AGaramondPro-Regular"/>
        </w:rPr>
        <w:t xml:space="preserve">o, a retomada do imóvel somente </w:t>
      </w:r>
      <w:r w:rsidRPr="00B40880">
        <w:rPr>
          <w:rFonts w:cs="AGaramondPro-Regular"/>
        </w:rPr>
        <w:t>será possível após 30 meses!”, afirmou. Persistindo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a permanência</w:t>
      </w:r>
      <w:r>
        <w:rPr>
          <w:rFonts w:cs="AGaramondPro-Regular"/>
        </w:rPr>
        <w:t xml:space="preserve"> do locatário no imóvel, deverá </w:t>
      </w:r>
      <w:r w:rsidRPr="00B40880">
        <w:rPr>
          <w:rFonts w:cs="AGaramondPro-Regular"/>
        </w:rPr>
        <w:t>o locador ajuizar ação de despejo.</w:t>
      </w:r>
      <w:r>
        <w:rPr>
          <w:rFonts w:cs="AGaramondPro-Regular"/>
        </w:rPr>
        <w:t xml:space="preserve"> </w:t>
      </w:r>
    </w:p>
    <w:p w:rsidR="00B40880" w:rsidRPr="00B40880" w:rsidRDefault="00B40880" w:rsidP="00B40880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B40880" w:rsidRDefault="00B40880" w:rsidP="00B40880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B40880">
        <w:rPr>
          <w:rFonts w:cs="AGaramondPro-Regular"/>
        </w:rPr>
        <w:t>Estando o imóvel mobiliado – o que é o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 xml:space="preserve">mais comum – deverá estar no contrato, </w:t>
      </w:r>
      <w:r>
        <w:rPr>
          <w:rFonts w:cs="AGaramondPro-Regular"/>
        </w:rPr>
        <w:t xml:space="preserve">obrigatoriamente, </w:t>
      </w:r>
      <w:r w:rsidRPr="00B40880">
        <w:rPr>
          <w:rFonts w:cs="AGaramondPro-Regular"/>
        </w:rPr>
        <w:t>“</w:t>
      </w:r>
      <w:r w:rsidRPr="00B40880">
        <w:rPr>
          <w:rFonts w:cs="AGaramondPro-Italic"/>
          <w:i/>
          <w:iCs/>
        </w:rPr>
        <w:t>a descrição dos móveis e utensílios</w:t>
      </w:r>
      <w:r>
        <w:rPr>
          <w:rFonts w:cs="AGaramondPro-Regular"/>
        </w:rPr>
        <w:t xml:space="preserve"> </w:t>
      </w:r>
      <w:r w:rsidRPr="00B40880">
        <w:rPr>
          <w:rFonts w:cs="AGaramondPro-Italic"/>
          <w:i/>
          <w:iCs/>
        </w:rPr>
        <w:t>que o guarnecem, bem como o estado em que se</w:t>
      </w:r>
      <w:r>
        <w:rPr>
          <w:rFonts w:cs="AGaramondPro-Italic"/>
          <w:i/>
          <w:iCs/>
        </w:rPr>
        <w:t xml:space="preserve"> </w:t>
      </w:r>
      <w:r w:rsidRPr="00B40880">
        <w:rPr>
          <w:rFonts w:cs="AGaramondPro-Italic"/>
          <w:i/>
          <w:iCs/>
        </w:rPr>
        <w:t>encontram</w:t>
      </w:r>
      <w:r w:rsidRPr="00B40880">
        <w:rPr>
          <w:rFonts w:cs="AGaramondPro-Regular"/>
        </w:rPr>
        <w:t xml:space="preserve">”, </w:t>
      </w:r>
      <w:r>
        <w:rPr>
          <w:rFonts w:cs="AGaramondPro-Regular"/>
        </w:rPr>
        <w:t xml:space="preserve">conforme determinação da Lei de </w:t>
      </w:r>
      <w:r w:rsidRPr="00B40880">
        <w:rPr>
          <w:rFonts w:cs="AGaramondPro-Regular"/>
        </w:rPr>
        <w:t>Locações. “Estando ou não mobiliado o imóvel,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é fundamen</w:t>
      </w:r>
      <w:r>
        <w:rPr>
          <w:rFonts w:cs="AGaramondPro-Regular"/>
        </w:rPr>
        <w:t xml:space="preserve">tal ter um termo de vistoria na </w:t>
      </w:r>
      <w:r w:rsidRPr="00B40880">
        <w:rPr>
          <w:rFonts w:cs="AGaramondPro-Regular"/>
        </w:rPr>
        <w:t>entrada e na saída. Tanto a descrição dos móveis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e utensílios quanto a elaboração de termo de</w:t>
      </w:r>
      <w:r w:rsidRPr="00B40880">
        <w:rPr>
          <w:rFonts w:cs="AGaramondPro-Regular"/>
        </w:rPr>
        <w:t xml:space="preserve"> </w:t>
      </w:r>
      <w:r w:rsidRPr="00B40880">
        <w:rPr>
          <w:rFonts w:cs="AGaramondPro-Regular"/>
        </w:rPr>
        <w:t>vistoria são cautelas vantajosas a ambas as partes,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trazendo segurança na solução de problemas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decorrentes de danos ou perdas de utensílios e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mobílias”, comentou Danilo Camargo.</w:t>
      </w:r>
    </w:p>
    <w:p w:rsidR="00B40880" w:rsidRPr="00B40880" w:rsidRDefault="00B40880" w:rsidP="00B40880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B40880" w:rsidRDefault="00B40880" w:rsidP="00B40880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 w:rsidRPr="00B40880">
        <w:rPr>
          <w:rFonts w:cs="AGaramondPro-Regular"/>
        </w:rPr>
        <w:t>Ao contrário do que ocorre nas locações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residenciais ou “comerciais”, poderá o locador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“</w:t>
      </w:r>
      <w:r w:rsidRPr="00B40880">
        <w:rPr>
          <w:rFonts w:cs="AGaramondPro-Italic"/>
          <w:i/>
          <w:iCs/>
        </w:rPr>
        <w:t xml:space="preserve">receber de </w:t>
      </w:r>
      <w:r>
        <w:rPr>
          <w:rFonts w:cs="AGaramondPro-Italic"/>
          <w:i/>
          <w:iCs/>
        </w:rPr>
        <w:t xml:space="preserve">uma só vez e antecipadamente os </w:t>
      </w:r>
      <w:r w:rsidRPr="00B40880">
        <w:rPr>
          <w:rFonts w:cs="AGaramondPro-Italic"/>
          <w:i/>
          <w:iCs/>
        </w:rPr>
        <w:t>alugueis e encargos</w:t>
      </w:r>
      <w:r w:rsidRPr="00B40880">
        <w:rPr>
          <w:rFonts w:cs="AGaramondPro-Regular"/>
        </w:rPr>
        <w:t>”, embora seja mais comum o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pagamento da me</w:t>
      </w:r>
      <w:r>
        <w:rPr>
          <w:rFonts w:cs="AGaramondPro-Regular"/>
        </w:rPr>
        <w:t xml:space="preserve">tade do valor no início e outra </w:t>
      </w:r>
      <w:r w:rsidRPr="00B40880">
        <w:rPr>
          <w:rFonts w:cs="AGaramondPro-Regular"/>
        </w:rPr>
        <w:t>no término da locação. De qualquer forma, a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exigência do pa</w:t>
      </w:r>
      <w:r>
        <w:rPr>
          <w:rFonts w:cs="AGaramondPro-Regular"/>
        </w:rPr>
        <w:t xml:space="preserve">gamento integral e antecipado é </w:t>
      </w:r>
      <w:r w:rsidRPr="00B40880">
        <w:rPr>
          <w:rFonts w:cs="AGaramondPro-Regular"/>
        </w:rPr>
        <w:t>permitida pela Lei. “Recomenda-se a prestação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de garantia, podendo ser contratada qualquer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das modalidades utilizadas para as locações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residenciais, previstas no</w:t>
      </w:r>
      <w:r>
        <w:rPr>
          <w:rFonts w:cs="AGaramondPro-Regular"/>
        </w:rPr>
        <w:t xml:space="preserve"> art. 37 da Lei do Inquilinato, </w:t>
      </w:r>
      <w:r w:rsidRPr="00B40880">
        <w:rPr>
          <w:rFonts w:cs="AGaramondPro-Regular"/>
        </w:rPr>
        <w:t>sendo mais comum a caução e fiança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nas locações destinadas às féria</w:t>
      </w:r>
      <w:r>
        <w:rPr>
          <w:rFonts w:cs="AGaramondPro-Regular"/>
        </w:rPr>
        <w:t xml:space="preserve">s”, aconselhou </w:t>
      </w:r>
      <w:r w:rsidRPr="00B40880">
        <w:rPr>
          <w:rFonts w:cs="AGaramondPro-Regular"/>
        </w:rPr>
        <w:t>o advogado. Tal como ocorre para as locações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residenciais e “co</w:t>
      </w:r>
      <w:r>
        <w:rPr>
          <w:rFonts w:cs="AGaramondPro-Regular"/>
        </w:rPr>
        <w:t xml:space="preserve">merciais”, é proibida, sob pena </w:t>
      </w:r>
      <w:r w:rsidRPr="00B40880">
        <w:rPr>
          <w:rFonts w:cs="AGaramondPro-Regular"/>
        </w:rPr>
        <w:t>de nulidade, mais de uma das modalidades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de garantia</w:t>
      </w:r>
      <w:r>
        <w:rPr>
          <w:rFonts w:cs="AGaramondPro-Regular"/>
        </w:rPr>
        <w:t xml:space="preserve"> num mesmo contrato de locação, </w:t>
      </w:r>
      <w:r w:rsidRPr="00B40880">
        <w:rPr>
          <w:rFonts w:cs="AGaramondPro-Regular"/>
        </w:rPr>
        <w:t>tratando-se inclusive de contravenção penal.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“Estas são as dic</w:t>
      </w:r>
      <w:r>
        <w:rPr>
          <w:rFonts w:cs="AGaramondPro-Regular"/>
        </w:rPr>
        <w:t xml:space="preserve">as mais importantes para que </w:t>
      </w:r>
      <w:r w:rsidRPr="00B40880">
        <w:rPr>
          <w:rFonts w:cs="AGaramondPro-Regular"/>
        </w:rPr>
        <w:t>locadores e locatários usufruam ao máximo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e com segurança as famosas férias de final e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início de ano, tão importantes para aqueles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que pretend</w:t>
      </w:r>
      <w:r>
        <w:rPr>
          <w:rFonts w:cs="AGaramondPro-Regular"/>
        </w:rPr>
        <w:t xml:space="preserve">em descansar quanto àqueles que </w:t>
      </w:r>
      <w:r w:rsidRPr="00B40880">
        <w:rPr>
          <w:rFonts w:cs="AGaramondPro-Regular"/>
        </w:rPr>
        <w:t>pretendem fazer um dinheiro extra”, concluiu.</w:t>
      </w:r>
    </w:p>
    <w:p w:rsidR="00B40880" w:rsidRDefault="00B40880" w:rsidP="00B40880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B40880" w:rsidRDefault="00B40880" w:rsidP="00B40880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B40880" w:rsidRDefault="00B40880" w:rsidP="00B40880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B40880" w:rsidRDefault="00B40880" w:rsidP="00B40880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>
        <w:rPr>
          <w:rFonts w:cs="AGaramondPro-Regular"/>
        </w:rPr>
        <w:t>**</w:t>
      </w:r>
    </w:p>
    <w:p w:rsidR="00B40880" w:rsidRDefault="00B40880" w:rsidP="00B40880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B40880" w:rsidRDefault="00B40880" w:rsidP="00B40880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  <w:r>
        <w:rPr>
          <w:rFonts w:cs="AGaramondPro-Regular"/>
        </w:rPr>
        <w:t>SUSTENTABILIDADE</w:t>
      </w:r>
    </w:p>
    <w:p w:rsidR="00B40880" w:rsidRDefault="00B40880" w:rsidP="00B40880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B40880" w:rsidRDefault="00B40880" w:rsidP="00B40880">
      <w:pPr>
        <w:autoSpaceDE w:val="0"/>
        <w:autoSpaceDN w:val="0"/>
        <w:adjustRightInd w:val="0"/>
        <w:spacing w:after="0" w:line="240" w:lineRule="auto"/>
        <w:jc w:val="both"/>
        <w:rPr>
          <w:rFonts w:cs="HelveticaNeue-Light"/>
          <w:b/>
        </w:rPr>
      </w:pPr>
      <w:r w:rsidRPr="00B40880">
        <w:rPr>
          <w:rFonts w:cs="HelveticaNeue-Light"/>
          <w:b/>
        </w:rPr>
        <w:t>NELM participa do Encontro 2014 do Pacto Global</w:t>
      </w:r>
    </w:p>
    <w:p w:rsidR="00B40880" w:rsidRPr="00B40880" w:rsidRDefault="00B40880" w:rsidP="00B40880">
      <w:pPr>
        <w:autoSpaceDE w:val="0"/>
        <w:autoSpaceDN w:val="0"/>
        <w:adjustRightInd w:val="0"/>
        <w:spacing w:after="0" w:line="240" w:lineRule="auto"/>
        <w:jc w:val="both"/>
        <w:rPr>
          <w:rFonts w:cs="HelveticaNeue-Light"/>
          <w:b/>
        </w:rPr>
      </w:pPr>
    </w:p>
    <w:p w:rsidR="00B40880" w:rsidRPr="00B40880" w:rsidRDefault="00B40880" w:rsidP="00B40880">
      <w:pPr>
        <w:autoSpaceDE w:val="0"/>
        <w:autoSpaceDN w:val="0"/>
        <w:adjustRightInd w:val="0"/>
        <w:spacing w:after="0" w:line="240" w:lineRule="auto"/>
        <w:jc w:val="both"/>
        <w:rPr>
          <w:rFonts w:cs="HelveticaNeue-LightItalic"/>
          <w:i/>
          <w:iCs/>
        </w:rPr>
      </w:pPr>
      <w:r w:rsidRPr="00B40880">
        <w:rPr>
          <w:rFonts w:cs="HelveticaNeue-LightItalic"/>
          <w:i/>
          <w:iCs/>
        </w:rPr>
        <w:t>Sócio do escritório é um dos palestrantes do evento que debateu a sustentabilidade corporativa</w:t>
      </w:r>
    </w:p>
    <w:p w:rsidR="00B40880" w:rsidRPr="00B40880" w:rsidRDefault="00B40880" w:rsidP="00B40880">
      <w:pPr>
        <w:autoSpaceDE w:val="0"/>
        <w:autoSpaceDN w:val="0"/>
        <w:adjustRightInd w:val="0"/>
        <w:spacing w:after="0" w:line="240" w:lineRule="auto"/>
        <w:jc w:val="both"/>
        <w:rPr>
          <w:rFonts w:cs="HelveticaNeue-LightItalic"/>
          <w:i/>
          <w:iCs/>
          <w:color w:val="758B97"/>
        </w:rPr>
      </w:pPr>
    </w:p>
    <w:p w:rsidR="00B40880" w:rsidRPr="00B40880" w:rsidRDefault="00B40880" w:rsidP="00B40880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B40880">
        <w:rPr>
          <w:rFonts w:cs="AGaramondPro-Regular"/>
        </w:rPr>
        <w:t>Entre os dias 3 e 5 de novembro foi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realizado, no Expo Transamérica em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São Paulo, o HSM ExpoManagement,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considerado</w:t>
      </w:r>
      <w:r>
        <w:rPr>
          <w:rFonts w:cs="AGaramondPro-Regular"/>
        </w:rPr>
        <w:t xml:space="preserve"> o maior evento sobre gestão </w:t>
      </w:r>
      <w:r w:rsidRPr="00B40880">
        <w:rPr>
          <w:rFonts w:cs="AGaramondPro-Regular"/>
        </w:rPr>
        <w:t>corporativa da América Latina. A Rede Brasileira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do Pacto Global foi responsável pela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Estação Sustentabilidade, onde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palestrantes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nacionais e internacionais debateram o tema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“O Futuro é Global”.</w:t>
      </w:r>
    </w:p>
    <w:p w:rsidR="00B40880" w:rsidRPr="00B40880" w:rsidRDefault="00B40880" w:rsidP="00B40880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</w:rPr>
      </w:pPr>
    </w:p>
    <w:p w:rsidR="00B40880" w:rsidRDefault="00B40880" w:rsidP="00B40880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B40880">
        <w:rPr>
          <w:rFonts w:cs="AGaramondPro-Regular"/>
        </w:rPr>
        <w:t>No dia 4, foi realizado o Encontr</w:t>
      </w:r>
      <w:r>
        <w:rPr>
          <w:rFonts w:cs="AGaramondPro-Regular"/>
        </w:rPr>
        <w:t xml:space="preserve">o Anual </w:t>
      </w:r>
      <w:r w:rsidRPr="00B40880">
        <w:rPr>
          <w:rFonts w:cs="AGaramondPro-Regular"/>
        </w:rPr>
        <w:t>da Rede Brasile</w:t>
      </w:r>
      <w:r>
        <w:rPr>
          <w:rFonts w:cs="AGaramondPro-Regular"/>
        </w:rPr>
        <w:t xml:space="preserve">ira do Pacto Global, que contou </w:t>
      </w:r>
      <w:r w:rsidRPr="00B40880">
        <w:rPr>
          <w:rFonts w:cs="AGaramondPro-Regular"/>
        </w:rPr>
        <w:t>com a presença de Georg Kell, diretor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executivo do Pacto Global da ONU, do qual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 xml:space="preserve">o NELM é </w:t>
      </w:r>
      <w:r w:rsidRPr="00B40880">
        <w:rPr>
          <w:rFonts w:cs="AGaramondPro-Regular"/>
        </w:rPr>
        <w:lastRenderedPageBreak/>
        <w:t>signatário, e recebeu cerca de 200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representa</w:t>
      </w:r>
      <w:r>
        <w:rPr>
          <w:rFonts w:cs="AGaramondPro-Regular"/>
        </w:rPr>
        <w:t xml:space="preserve">ntes de empresas e organizações </w:t>
      </w:r>
      <w:r w:rsidRPr="00B40880">
        <w:rPr>
          <w:rFonts w:cs="AGaramondPro-Regular"/>
        </w:rPr>
        <w:t>signatárias da iniciativa, colocaram em foco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a liderança e inov</w:t>
      </w:r>
      <w:r>
        <w:rPr>
          <w:rFonts w:cs="AGaramondPro-Regular"/>
        </w:rPr>
        <w:t xml:space="preserve">ação, reafirmando o compromisso </w:t>
      </w:r>
      <w:r w:rsidRPr="00B40880">
        <w:rPr>
          <w:rFonts w:cs="AGaramondPro-Regular"/>
        </w:rPr>
        <w:t>do setor empresarial do país com as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Nações Un</w:t>
      </w:r>
      <w:r>
        <w:rPr>
          <w:rFonts w:cs="AGaramondPro-Regular"/>
        </w:rPr>
        <w:t xml:space="preserve">idas na construção de um modelo </w:t>
      </w:r>
      <w:r w:rsidRPr="00B40880">
        <w:rPr>
          <w:rFonts w:cs="AGaramondPro-Regular"/>
        </w:rPr>
        <w:t>de desenvolvimento mais justo e sustentável.</w:t>
      </w:r>
    </w:p>
    <w:p w:rsidR="00B40880" w:rsidRPr="00B40880" w:rsidRDefault="00B40880" w:rsidP="00B40880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</w:p>
    <w:p w:rsidR="00B40880" w:rsidRPr="00B40880" w:rsidRDefault="00B40880" w:rsidP="00B40880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B40880">
        <w:rPr>
          <w:rFonts w:cs="AGaramondPro-Regular"/>
        </w:rPr>
        <w:t>O sócio do NELM</w:t>
      </w:r>
      <w:r>
        <w:rPr>
          <w:rFonts w:cs="AGaramondPro-Regular"/>
        </w:rPr>
        <w:t xml:space="preserve"> e autor do livro “A Humanidade </w:t>
      </w:r>
      <w:r w:rsidRPr="00B40880">
        <w:rPr>
          <w:rFonts w:cs="AGaramondPro-Regular"/>
        </w:rPr>
        <w:t>contra as Cordas”, Eduardo Felipe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Matias, foi um dos palestrantes convidados do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evento. “As</w:t>
      </w:r>
      <w:r>
        <w:rPr>
          <w:rFonts w:cs="AGaramondPro-Regular"/>
        </w:rPr>
        <w:t xml:space="preserve"> empresas precisam entender que </w:t>
      </w:r>
      <w:r w:rsidRPr="00B40880">
        <w:rPr>
          <w:rFonts w:cs="AGaramondPro-Regular"/>
        </w:rPr>
        <w:t>elas podem ganhar com a sustentabilidade. A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sustentabilidade</w:t>
      </w:r>
      <w:r>
        <w:rPr>
          <w:rFonts w:cs="AGaramondPro-Regular"/>
        </w:rPr>
        <w:t xml:space="preserve"> traz ecoeficiência ao negócio, </w:t>
      </w:r>
      <w:r w:rsidRPr="00B40880">
        <w:rPr>
          <w:rFonts w:cs="AGaramondPro-Regular"/>
        </w:rPr>
        <w:t>ou seja, a redução do desperdício. Aumento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de produtividade pelo ganho da ecoeficiência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significa crescimento de lucratividade”,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afirmou Eduardo Felipe Matias, que falou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sobre o papel das corporações durante sua</w:t>
      </w:r>
      <w:r>
        <w:rPr>
          <w:rFonts w:cs="AGaramondPro-Regular"/>
        </w:rPr>
        <w:t xml:space="preserve"> </w:t>
      </w:r>
      <w:r w:rsidRPr="00B40880">
        <w:rPr>
          <w:rFonts w:cs="AGaramondPro-Regular"/>
        </w:rPr>
        <w:t>apresentação</w:t>
      </w:r>
      <w:r>
        <w:rPr>
          <w:rFonts w:cs="AGaramondPro-Regular"/>
        </w:rPr>
        <w:t>.</w:t>
      </w:r>
      <w:bookmarkStart w:id="0" w:name="_GoBack"/>
      <w:bookmarkEnd w:id="0"/>
    </w:p>
    <w:sectPr w:rsidR="00B40880" w:rsidRPr="00B408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Pro-Regular">
    <w:panose1 w:val="02020502060506020403"/>
    <w:charset w:val="00"/>
    <w:family w:val="roman"/>
    <w:notTrueType/>
    <w:pitch w:val="default"/>
    <w:sig w:usb0="00000003" w:usb1="00000000" w:usb2="00000000" w:usb3="00000000" w:csb0="00000001" w:csb1="00000000"/>
  </w:font>
  <w:font w:name="AGaramondPr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C50A1"/>
    <w:multiLevelType w:val="hybridMultilevel"/>
    <w:tmpl w:val="8AE4D024"/>
    <w:lvl w:ilvl="0" w:tplc="76CE19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F1"/>
    <w:rsid w:val="000D33CB"/>
    <w:rsid w:val="002C7BF1"/>
    <w:rsid w:val="00B4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564B9-FD8A-4401-8691-AB87CC07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7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2019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Predicado Comunicação</dc:creator>
  <cp:keywords/>
  <dc:description/>
  <cp:lastModifiedBy>Predicado Comunicação</cp:lastModifiedBy>
  <cp:revision>1</cp:revision>
  <dcterms:created xsi:type="dcterms:W3CDTF">2014-12-09T18:39:00Z</dcterms:created>
  <dcterms:modified xsi:type="dcterms:W3CDTF">2014-12-09T19:04:00Z</dcterms:modified>
</cp:coreProperties>
</file>